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rPr>
      </w:pPr>
    </w:p>
    <w:p>
      <w:pPr>
        <w:spacing w:line="600" w:lineRule="exact"/>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val="en-US" w:eastAsia="zh-CN"/>
        </w:rPr>
        <w:t>2024年度舞钢市国防动员办公室</w:t>
      </w:r>
      <w:r>
        <w:rPr>
          <w:rFonts w:hint="eastAsia" w:ascii="方正小标宋_GBK" w:hAnsi="方正小标宋_GBK" w:eastAsia="方正小标宋_GBK" w:cs="方正小标宋_GBK"/>
          <w:b w:val="0"/>
          <w:bCs/>
          <w:sz w:val="44"/>
          <w:szCs w:val="44"/>
        </w:rPr>
        <w:t>领域“双随机、一公开”</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随机抽查</w:t>
      </w:r>
      <w:r>
        <w:rPr>
          <w:rFonts w:hint="eastAsia" w:ascii="方正小标宋_GBK" w:hAnsi="方正小标宋_GBK" w:eastAsia="方正小标宋_GBK" w:cs="方正小标宋_GBK"/>
          <w:b w:val="0"/>
          <w:bCs/>
          <w:sz w:val="44"/>
          <w:szCs w:val="44"/>
          <w:lang w:eastAsia="zh-CN"/>
        </w:rPr>
        <w:t>检查</w:t>
      </w:r>
      <w:r>
        <w:rPr>
          <w:rFonts w:hint="eastAsia" w:ascii="方正小标宋_GBK" w:hAnsi="方正小标宋_GBK" w:eastAsia="方正小标宋_GBK" w:cs="方正小标宋_GBK"/>
          <w:b w:val="0"/>
          <w:bCs/>
          <w:sz w:val="44"/>
          <w:szCs w:val="44"/>
        </w:rPr>
        <w:t>事项清单</w:t>
      </w:r>
    </w:p>
    <w:bookmarkEnd w:id="0"/>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bl>
      <w:tblPr>
        <w:tblStyle w:val="5"/>
        <w:tblW w:w="13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3"/>
        <w:gridCol w:w="1330"/>
        <w:gridCol w:w="1948"/>
        <w:gridCol w:w="3510"/>
        <w:gridCol w:w="1471"/>
        <w:gridCol w:w="945"/>
        <w:gridCol w:w="1463"/>
        <w:gridCol w:w="1070"/>
        <w:gridCol w:w="840"/>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4" w:hRule="atLeast"/>
          <w:tblHeader/>
          <w:jc w:val="center"/>
        </w:trPr>
        <w:tc>
          <w:tcPr>
            <w:tcW w:w="613"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序号</w:t>
            </w:r>
          </w:p>
        </w:tc>
        <w:tc>
          <w:tcPr>
            <w:tcW w:w="1330"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部门名称</w:t>
            </w:r>
          </w:p>
        </w:tc>
        <w:tc>
          <w:tcPr>
            <w:tcW w:w="1948"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抽查事项</w:t>
            </w:r>
          </w:p>
          <w:p>
            <w:pPr>
              <w:widowControl/>
              <w:snapToGrid w:val="0"/>
              <w:spacing w:line="340" w:lineRule="exact"/>
              <w:jc w:val="center"/>
              <w:rPr>
                <w:rFonts w:hint="eastAsia" w:ascii="黑体" w:hAnsi="黑体" w:eastAsia="黑体" w:cs="黑体"/>
                <w:b w:val="0"/>
                <w:bCs w:val="0"/>
                <w:w w:val="100"/>
                <w:sz w:val="24"/>
                <w:szCs w:val="24"/>
                <w:lang w:val="en-US" w:eastAsia="zh-CN"/>
              </w:rPr>
            </w:pPr>
            <w:r>
              <w:rPr>
                <w:rFonts w:hint="eastAsia" w:ascii="黑体" w:hAnsi="黑体" w:eastAsia="黑体" w:cs="黑体"/>
                <w:b w:val="0"/>
                <w:bCs w:val="0"/>
                <w:color w:val="000000"/>
                <w:kern w:val="0"/>
                <w:sz w:val="24"/>
                <w:szCs w:val="24"/>
                <w:lang w:val="en-US" w:eastAsia="zh-CN"/>
              </w:rPr>
              <w:t>名    称</w:t>
            </w:r>
          </w:p>
        </w:tc>
        <w:tc>
          <w:tcPr>
            <w:tcW w:w="3510"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抽查依据</w:t>
            </w:r>
          </w:p>
        </w:tc>
        <w:tc>
          <w:tcPr>
            <w:tcW w:w="1471"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检查</w:t>
            </w:r>
          </w:p>
          <w:p>
            <w:pPr>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主体</w:t>
            </w:r>
          </w:p>
        </w:tc>
        <w:tc>
          <w:tcPr>
            <w:tcW w:w="945"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事项</w:t>
            </w:r>
          </w:p>
          <w:p>
            <w:pPr>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类别</w:t>
            </w:r>
          </w:p>
        </w:tc>
        <w:tc>
          <w:tcPr>
            <w:tcW w:w="1463"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检查对象</w:t>
            </w:r>
          </w:p>
        </w:tc>
        <w:tc>
          <w:tcPr>
            <w:tcW w:w="1070"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抽查频次次/年</w:t>
            </w:r>
          </w:p>
        </w:tc>
        <w:tc>
          <w:tcPr>
            <w:tcW w:w="840"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检查</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方式</w:t>
            </w:r>
          </w:p>
        </w:tc>
        <w:tc>
          <w:tcPr>
            <w:tcW w:w="613" w:type="dxa"/>
            <w:noWrap w:val="0"/>
            <w:vAlign w:val="center"/>
          </w:tcPr>
          <w:p>
            <w:pPr>
              <w:widowControl/>
              <w:snapToGrid w:val="0"/>
              <w:spacing w:line="34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0" w:hRule="atLeast"/>
          <w:jc w:val="center"/>
        </w:trPr>
        <w:tc>
          <w:tcPr>
            <w:tcW w:w="61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w:t>
            </w:r>
          </w:p>
        </w:tc>
        <w:tc>
          <w:tcPr>
            <w:tcW w:w="1330" w:type="dxa"/>
            <w:noWrap w:val="0"/>
            <w:vAlign w:val="center"/>
          </w:tcPr>
          <w:p>
            <w:pPr>
              <w:widowControl/>
              <w:snapToGrid w:val="0"/>
              <w:spacing w:line="340" w:lineRule="exact"/>
              <w:jc w:val="center"/>
              <w:rPr>
                <w:rFonts w:hint="default" w:ascii="仿宋_GB2312" w:hAnsi="仿宋_GB2312" w:eastAsia="仿宋_GB2312" w:cs="仿宋_GB2312"/>
                <w:b w:val="0"/>
                <w:bCs w:val="0"/>
                <w:color w:val="000000"/>
                <w:kern w:val="0"/>
                <w:sz w:val="24"/>
                <w:szCs w:val="24"/>
                <w:lang w:val="en" w:eastAsia="zh-CN"/>
              </w:rPr>
            </w:pPr>
            <w:r>
              <w:rPr>
                <w:rFonts w:hint="eastAsia" w:ascii="仿宋_GB2312" w:hAnsi="仿宋_GB2312" w:eastAsia="仿宋_GB2312" w:cs="仿宋_GB2312"/>
                <w:b w:val="0"/>
                <w:bCs w:val="0"/>
                <w:color w:val="000000"/>
                <w:kern w:val="0"/>
                <w:sz w:val="24"/>
                <w:szCs w:val="24"/>
                <w:lang w:eastAsia="zh-CN"/>
              </w:rPr>
              <w:t>市国防动员办公室</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（市人民防空办公室）</w:t>
            </w:r>
          </w:p>
        </w:tc>
        <w:tc>
          <w:tcPr>
            <w:tcW w:w="1948"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对人民防空工程维护管理和平时开发利用的检查</w:t>
            </w:r>
          </w:p>
        </w:tc>
        <w:tc>
          <w:tcPr>
            <w:tcW w:w="351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《中华人民共和国人民防空法》《人民防空工程维护管理办法》《关于颁布〈人民防空工程平时开发利用管理办法〉的通知》</w:t>
            </w:r>
          </w:p>
        </w:tc>
        <w:tc>
          <w:tcPr>
            <w:tcW w:w="1471" w:type="dxa"/>
            <w:noWrap w:val="0"/>
            <w:vAlign w:val="center"/>
          </w:tcPr>
          <w:p>
            <w:pPr>
              <w:widowControl/>
              <w:snapToGrid w:val="0"/>
              <w:spacing w:line="340" w:lineRule="exact"/>
              <w:jc w:val="center"/>
              <w:rPr>
                <w:rFonts w:hint="default" w:ascii="仿宋_GB2312" w:hAnsi="仿宋_GB2312" w:eastAsia="仿宋_GB2312" w:cs="仿宋_GB2312"/>
                <w:b w:val="0"/>
                <w:bCs w:val="0"/>
                <w:color w:val="000000"/>
                <w:kern w:val="0"/>
                <w:sz w:val="24"/>
                <w:szCs w:val="24"/>
                <w:lang w:val="en" w:eastAsia="zh-CN"/>
              </w:rPr>
            </w:pPr>
            <w:r>
              <w:rPr>
                <w:rFonts w:hint="eastAsia" w:ascii="仿宋_GB2312" w:hAnsi="仿宋_GB2312" w:eastAsia="仿宋_GB2312" w:cs="仿宋_GB2312"/>
                <w:b w:val="0"/>
                <w:bCs w:val="0"/>
                <w:color w:val="000000"/>
                <w:kern w:val="0"/>
                <w:sz w:val="24"/>
                <w:szCs w:val="24"/>
                <w:lang w:eastAsia="zh-CN"/>
              </w:rPr>
              <w:t>市国防动员办公室</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（市人民防空办公室）</w:t>
            </w:r>
          </w:p>
        </w:tc>
        <w:tc>
          <w:tcPr>
            <w:tcW w:w="945"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一般</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检查</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事项</w:t>
            </w:r>
          </w:p>
        </w:tc>
        <w:tc>
          <w:tcPr>
            <w:tcW w:w="146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已建成并投入使用的人防工程</w:t>
            </w:r>
          </w:p>
        </w:tc>
        <w:tc>
          <w:tcPr>
            <w:tcW w:w="107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根据工作需要或1次</w:t>
            </w:r>
          </w:p>
        </w:tc>
        <w:tc>
          <w:tcPr>
            <w:tcW w:w="84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eastAsia="zh-CN"/>
              </w:rPr>
              <w:t>现场检查</w:t>
            </w:r>
            <w:r>
              <w:rPr>
                <w:rFonts w:hint="eastAsia" w:ascii="仿宋_GB2312" w:hAnsi="仿宋_GB2312" w:eastAsia="仿宋_GB2312" w:cs="仿宋_GB2312"/>
                <w:b w:val="0"/>
                <w:bCs w:val="0"/>
                <w:color w:val="000000"/>
                <w:kern w:val="0"/>
                <w:sz w:val="24"/>
                <w:szCs w:val="24"/>
                <w:lang w:val="en-US" w:eastAsia="zh-CN"/>
              </w:rPr>
              <w:t>/专业检测</w:t>
            </w:r>
          </w:p>
        </w:tc>
        <w:tc>
          <w:tcPr>
            <w:tcW w:w="61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5" w:hRule="atLeast"/>
          <w:jc w:val="center"/>
        </w:trPr>
        <w:tc>
          <w:tcPr>
            <w:tcW w:w="61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2</w:t>
            </w:r>
          </w:p>
        </w:tc>
        <w:tc>
          <w:tcPr>
            <w:tcW w:w="1330" w:type="dxa"/>
            <w:noWrap w:val="0"/>
            <w:vAlign w:val="center"/>
          </w:tcPr>
          <w:p>
            <w:pPr>
              <w:widowControl/>
              <w:snapToGrid w:val="0"/>
              <w:spacing w:line="340" w:lineRule="exact"/>
              <w:jc w:val="center"/>
              <w:rPr>
                <w:rFonts w:hint="default" w:ascii="仿宋_GB2312" w:hAnsi="仿宋_GB2312" w:eastAsia="仿宋_GB2312" w:cs="仿宋_GB2312"/>
                <w:b w:val="0"/>
                <w:bCs w:val="0"/>
                <w:color w:val="000000"/>
                <w:kern w:val="0"/>
                <w:sz w:val="24"/>
                <w:szCs w:val="24"/>
                <w:lang w:val="en" w:eastAsia="zh-CN"/>
              </w:rPr>
            </w:pPr>
            <w:r>
              <w:rPr>
                <w:rFonts w:hint="eastAsia" w:ascii="仿宋_GB2312" w:hAnsi="仿宋_GB2312" w:eastAsia="仿宋_GB2312" w:cs="仿宋_GB2312"/>
                <w:b w:val="0"/>
                <w:bCs w:val="0"/>
                <w:color w:val="000000"/>
                <w:kern w:val="0"/>
                <w:sz w:val="24"/>
                <w:szCs w:val="24"/>
                <w:lang w:eastAsia="zh-CN"/>
              </w:rPr>
              <w:t>市国防动员办公室</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eastAsia="zh-CN"/>
              </w:rPr>
              <w:t>（市人民防空办公室）</w:t>
            </w:r>
          </w:p>
        </w:tc>
        <w:tc>
          <w:tcPr>
            <w:tcW w:w="1948"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对防空地下室建设和城市地下空间利用兼顾人民防空防护要求的检查</w:t>
            </w:r>
          </w:p>
        </w:tc>
        <w:tc>
          <w:tcPr>
            <w:tcW w:w="351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《中华人民共和国人民防空法》《中华人民共和国城乡规划法》《河南省人民防空工程管理办法》《人民防空工程建设管理规定》</w:t>
            </w:r>
          </w:p>
        </w:tc>
        <w:tc>
          <w:tcPr>
            <w:tcW w:w="1471" w:type="dxa"/>
            <w:noWrap w:val="0"/>
            <w:vAlign w:val="center"/>
          </w:tcPr>
          <w:p>
            <w:pPr>
              <w:widowControl/>
              <w:snapToGrid w:val="0"/>
              <w:spacing w:line="340" w:lineRule="exact"/>
              <w:jc w:val="center"/>
              <w:rPr>
                <w:rFonts w:hint="default" w:ascii="仿宋_GB2312" w:hAnsi="仿宋_GB2312" w:eastAsia="仿宋_GB2312" w:cs="仿宋_GB2312"/>
                <w:b w:val="0"/>
                <w:bCs w:val="0"/>
                <w:color w:val="000000"/>
                <w:kern w:val="0"/>
                <w:sz w:val="24"/>
                <w:szCs w:val="24"/>
                <w:lang w:val="en" w:eastAsia="zh-CN"/>
              </w:rPr>
            </w:pPr>
            <w:r>
              <w:rPr>
                <w:rFonts w:hint="eastAsia" w:ascii="仿宋_GB2312" w:hAnsi="仿宋_GB2312" w:eastAsia="仿宋_GB2312" w:cs="仿宋_GB2312"/>
                <w:b w:val="0"/>
                <w:bCs w:val="0"/>
                <w:color w:val="000000"/>
                <w:kern w:val="0"/>
                <w:sz w:val="24"/>
                <w:szCs w:val="24"/>
                <w:lang w:eastAsia="zh-CN"/>
              </w:rPr>
              <w:t>市国防动员办公室</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eastAsia="zh-CN"/>
              </w:rPr>
              <w:t>（市人民防空办公室）</w:t>
            </w:r>
          </w:p>
        </w:tc>
        <w:tc>
          <w:tcPr>
            <w:tcW w:w="945"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一般</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检查</w:t>
            </w:r>
          </w:p>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事项</w:t>
            </w:r>
          </w:p>
        </w:tc>
        <w:tc>
          <w:tcPr>
            <w:tcW w:w="146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已批准修建人防设施的建设项目</w:t>
            </w:r>
          </w:p>
        </w:tc>
        <w:tc>
          <w:tcPr>
            <w:tcW w:w="107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根据工作需要或1次</w:t>
            </w:r>
          </w:p>
        </w:tc>
        <w:tc>
          <w:tcPr>
            <w:tcW w:w="840"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现场检查/专业检测</w:t>
            </w:r>
          </w:p>
        </w:tc>
        <w:tc>
          <w:tcPr>
            <w:tcW w:w="613" w:type="dxa"/>
            <w:noWrap w:val="0"/>
            <w:vAlign w:val="center"/>
          </w:tcPr>
          <w:p>
            <w:pPr>
              <w:widowControl/>
              <w:snapToGrid w:val="0"/>
              <w:spacing w:line="340" w:lineRule="exact"/>
              <w:jc w:val="center"/>
              <w:rPr>
                <w:rFonts w:hint="eastAsia" w:ascii="仿宋_GB2312" w:hAnsi="仿宋_GB2312" w:eastAsia="仿宋_GB2312" w:cs="仿宋_GB2312"/>
                <w:b w:val="0"/>
                <w:bCs w:val="0"/>
                <w:color w:val="000000"/>
                <w:kern w:val="0"/>
                <w:sz w:val="24"/>
                <w:szCs w:val="24"/>
                <w:lang w:val="en-US"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2417D"/>
    <w:rsid w:val="2662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楷体" w:hAnsi="楷体" w:eastAsia="楷体" w:cs="楷体"/>
      <w:sz w:val="24"/>
      <w:szCs w:val="24"/>
      <w:lang w:val="zh-CN" w:bidi="zh-CN"/>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2024-06-11T07:49:00Z</dcterms:created>
  <dc:creator>lkkk</dc:creator>
  <cp:lastModifiedBy>lkkk</cp:lastModifiedBy>
  <dcterms:modified xsi:type="dcterms:W3CDTF">2024-06-11T07:51:38Z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