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lang w:val="en-US" w:eastAsia="zh-CN"/>
        </w:rPr>
        <w:t>202</w:t>
      </w:r>
      <w:r>
        <w:rPr>
          <w:rFonts w:hint="eastAsia" w:ascii="宋体" w:hAnsi="宋体" w:cs="宋体"/>
          <w:b/>
          <w:bCs/>
          <w:color w:val="000000"/>
          <w:sz w:val="32"/>
          <w:szCs w:val="32"/>
          <w:highlight w:val="none"/>
          <w:lang w:val="en-US" w:eastAsia="zh-CN"/>
        </w:rPr>
        <w:t>4</w:t>
      </w:r>
      <w:r>
        <w:rPr>
          <w:rFonts w:hint="eastAsia" w:ascii="宋体" w:hAnsi="宋体" w:eastAsia="宋体" w:cs="宋体"/>
          <w:b/>
          <w:bCs/>
          <w:color w:val="000000"/>
          <w:sz w:val="32"/>
          <w:szCs w:val="32"/>
          <w:highlight w:val="none"/>
          <w:lang w:val="en-US" w:eastAsia="zh-CN"/>
        </w:rPr>
        <w:t>年</w:t>
      </w:r>
      <w:r>
        <w:rPr>
          <w:rFonts w:hint="eastAsia" w:ascii="宋体" w:hAnsi="宋体" w:cs="宋体"/>
          <w:b/>
          <w:bCs/>
          <w:color w:val="000000"/>
          <w:sz w:val="32"/>
          <w:szCs w:val="32"/>
          <w:highlight w:val="none"/>
          <w:lang w:val="en-US" w:eastAsia="zh-CN"/>
        </w:rPr>
        <w:t>舞钢市消防</w:t>
      </w:r>
      <w:r>
        <w:rPr>
          <w:rFonts w:hint="eastAsia" w:ascii="宋体" w:hAnsi="宋体" w:eastAsia="宋体" w:cs="宋体"/>
          <w:b/>
          <w:bCs/>
          <w:color w:val="000000"/>
          <w:sz w:val="32"/>
          <w:szCs w:val="32"/>
          <w:highlight w:val="none"/>
        </w:rPr>
        <w:t>产品质量监督抽查实施细则</w:t>
      </w:r>
    </w:p>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eastAsia="方正小标宋简体" w:cs="方正仿宋简体"/>
          <w:color w:val="000000"/>
          <w:sz w:val="32"/>
          <w:szCs w:val="32"/>
          <w:highlight w:val="none"/>
        </w:rPr>
      </w:pPr>
    </w:p>
    <w:p>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1 抽样方法</w:t>
      </w:r>
    </w:p>
    <w:p>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以随机抽样的方式在被抽样生产者、销售者的待销产品中抽取。</w:t>
      </w:r>
    </w:p>
    <w:p>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随机数一般可使用随机数表等方法产生。</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每批次产品抽取样品数量见下表：</w:t>
      </w:r>
    </w:p>
    <w:p>
      <w:pPr>
        <w:keepNext w:val="0"/>
        <w:keepLines w:val="0"/>
        <w:pageBreakBefore w:val="0"/>
        <w:kinsoku/>
        <w:wordWrap/>
        <w:overflowPunct/>
        <w:topLinePunct w:val="0"/>
        <w:autoSpaceDE/>
        <w:autoSpaceDN/>
        <w:bidi w:val="0"/>
        <w:snapToGrid w:val="0"/>
        <w:spacing w:line="440" w:lineRule="exact"/>
        <w:ind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表1 抽取样品数量</w:t>
      </w:r>
    </w:p>
    <w:tbl>
      <w:tblPr>
        <w:tblStyle w:val="15"/>
        <w:tblW w:w="0" w:type="auto"/>
        <w:tblInd w:w="6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2115"/>
        <w:gridCol w:w="1620"/>
        <w:gridCol w:w="1710"/>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005" w:type="dxa"/>
            <w:noWrap w:val="0"/>
            <w:vAlign w:val="center"/>
          </w:tcPr>
          <w:p>
            <w:pPr>
              <w:keepNext w:val="0"/>
              <w:keepLines w:val="0"/>
              <w:pageBreakBefore w:val="0"/>
              <w:kinsoku/>
              <w:wordWrap/>
              <w:overflowPunct/>
              <w:topLinePunct w:val="0"/>
              <w:autoSpaceDE/>
              <w:autoSpaceDN/>
              <w:bidi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115" w:type="dxa"/>
            <w:noWrap w:val="0"/>
            <w:vAlign w:val="center"/>
          </w:tcPr>
          <w:p>
            <w:pPr>
              <w:keepNext w:val="0"/>
              <w:keepLines w:val="0"/>
              <w:pageBreakBefore w:val="0"/>
              <w:kinsoku/>
              <w:wordWrap/>
              <w:overflowPunct/>
              <w:topLinePunct w:val="0"/>
              <w:autoSpaceDE/>
              <w:autoSpaceDN/>
              <w:bidi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产品名称</w:t>
            </w:r>
          </w:p>
        </w:tc>
        <w:tc>
          <w:tcPr>
            <w:tcW w:w="1620" w:type="dxa"/>
            <w:noWrap w:val="0"/>
            <w:vAlign w:val="center"/>
          </w:tcPr>
          <w:p>
            <w:pPr>
              <w:keepNext w:val="0"/>
              <w:keepLines w:val="0"/>
              <w:pageBreakBefore w:val="0"/>
              <w:kinsoku/>
              <w:wordWrap/>
              <w:overflowPunct/>
              <w:topLinePunct w:val="0"/>
              <w:autoSpaceDE/>
              <w:autoSpaceDN/>
              <w:bidi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抽样数量</w:t>
            </w:r>
          </w:p>
        </w:tc>
        <w:tc>
          <w:tcPr>
            <w:tcW w:w="1710" w:type="dxa"/>
            <w:noWrap w:val="0"/>
            <w:vAlign w:val="center"/>
          </w:tcPr>
          <w:p>
            <w:pPr>
              <w:keepNext w:val="0"/>
              <w:keepLines w:val="0"/>
              <w:pageBreakBefore w:val="0"/>
              <w:kinsoku/>
              <w:wordWrap/>
              <w:overflowPunct/>
              <w:topLinePunct w:val="0"/>
              <w:autoSpaceDE/>
              <w:autoSpaceDN/>
              <w:bidi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检验样品数量</w:t>
            </w:r>
          </w:p>
        </w:tc>
        <w:tc>
          <w:tcPr>
            <w:tcW w:w="1772" w:type="dxa"/>
            <w:noWrap w:val="0"/>
            <w:vAlign w:val="center"/>
          </w:tcPr>
          <w:p>
            <w:pPr>
              <w:keepNext w:val="0"/>
              <w:keepLines w:val="0"/>
              <w:pageBreakBefore w:val="0"/>
              <w:kinsoku/>
              <w:wordWrap/>
              <w:overflowPunct/>
              <w:topLinePunct w:val="0"/>
              <w:autoSpaceDE/>
              <w:autoSpaceDN/>
              <w:bidi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备用样品数量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005" w:type="dxa"/>
            <w:noWrap w:val="0"/>
            <w:vAlign w:val="center"/>
          </w:tcPr>
          <w:p>
            <w:pPr>
              <w:keepNext w:val="0"/>
              <w:keepLines w:val="0"/>
              <w:pageBreakBefore w:val="0"/>
              <w:kinsoku/>
              <w:wordWrap/>
              <w:overflowPunct/>
              <w:topLinePunct w:val="0"/>
              <w:autoSpaceDE/>
              <w:autoSpaceDN/>
              <w:bidi w:val="0"/>
              <w:snapToGrid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115" w:type="dxa"/>
            <w:noWrap w:val="0"/>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2"/>
                <w:sz w:val="21"/>
                <w:szCs w:val="21"/>
                <w:highlight w:val="none"/>
                <w:lang w:val="en-US" w:eastAsia="zh-CN" w:bidi="ar-SA"/>
              </w:rPr>
              <w:t>手提式灭火器</w:t>
            </w:r>
          </w:p>
        </w:tc>
        <w:tc>
          <w:tcPr>
            <w:tcW w:w="1620" w:type="dxa"/>
            <w:noWrap w:val="0"/>
            <w:vAlign w:val="center"/>
          </w:tcPr>
          <w:p>
            <w:pPr>
              <w:keepNext w:val="0"/>
              <w:keepLines w:val="0"/>
              <w:pageBreakBefore w:val="0"/>
              <w:kinsoku/>
              <w:wordWrap/>
              <w:overflowPunct/>
              <w:topLinePunct w:val="0"/>
              <w:autoSpaceDE/>
              <w:autoSpaceDN/>
              <w:bidi w:val="0"/>
              <w:adjustRightInd w:val="0"/>
              <w:snapToGrid w:val="0"/>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sz w:val="21"/>
                <w:szCs w:val="21"/>
                <w:highlight w:val="none"/>
                <w:lang w:val="en-US" w:eastAsia="zh-CN"/>
              </w:rPr>
              <w:t>4具</w:t>
            </w:r>
          </w:p>
        </w:tc>
        <w:tc>
          <w:tcPr>
            <w:tcW w:w="1710" w:type="dxa"/>
            <w:noWrap w:val="0"/>
            <w:vAlign w:val="center"/>
          </w:tcPr>
          <w:p>
            <w:pPr>
              <w:keepNext w:val="0"/>
              <w:keepLines w:val="0"/>
              <w:pageBreakBefore w:val="0"/>
              <w:kinsoku/>
              <w:wordWrap/>
              <w:overflowPunct/>
              <w:topLinePunct w:val="0"/>
              <w:autoSpaceDE/>
              <w:autoSpaceDN/>
              <w:bidi w:val="0"/>
              <w:adjustRightInd w:val="0"/>
              <w:snapToGrid w:val="0"/>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lang w:val="en-US" w:eastAsia="zh-CN"/>
              </w:rPr>
              <w:t>具</w:t>
            </w:r>
          </w:p>
        </w:tc>
        <w:tc>
          <w:tcPr>
            <w:tcW w:w="1772" w:type="dxa"/>
            <w:noWrap w:val="0"/>
            <w:vAlign w:val="center"/>
          </w:tcPr>
          <w:p>
            <w:pPr>
              <w:keepNext w:val="0"/>
              <w:keepLines w:val="0"/>
              <w:pageBreakBefore w:val="0"/>
              <w:kinsoku/>
              <w:wordWrap/>
              <w:overflowPunct/>
              <w:topLinePunct w:val="0"/>
              <w:autoSpaceDE/>
              <w:autoSpaceDN/>
              <w:bidi w:val="0"/>
              <w:adjustRightInd w:val="0"/>
              <w:snapToGrid w:val="0"/>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lang w:val="en-US" w:eastAsia="zh-CN"/>
              </w:rPr>
              <w:t>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005" w:type="dxa"/>
            <w:noWrap w:val="0"/>
            <w:vAlign w:val="center"/>
          </w:tcPr>
          <w:p>
            <w:pPr>
              <w:keepNext w:val="0"/>
              <w:keepLines w:val="0"/>
              <w:pageBreakBefore w:val="0"/>
              <w:kinsoku/>
              <w:wordWrap/>
              <w:overflowPunct/>
              <w:topLinePunct w:val="0"/>
              <w:autoSpaceDE/>
              <w:autoSpaceDN/>
              <w:bidi w:val="0"/>
              <w:snapToGrid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115" w:type="dxa"/>
            <w:noWrap w:val="0"/>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消防应急灯</w:t>
            </w:r>
          </w:p>
        </w:tc>
        <w:tc>
          <w:tcPr>
            <w:tcW w:w="1620" w:type="dxa"/>
            <w:noWrap w:val="0"/>
            <w:vAlign w:val="center"/>
          </w:tcPr>
          <w:p>
            <w:pPr>
              <w:keepNext w:val="0"/>
              <w:keepLines w:val="0"/>
              <w:pageBreakBefore w:val="0"/>
              <w:kinsoku/>
              <w:wordWrap/>
              <w:overflowPunct/>
              <w:topLinePunct w:val="0"/>
              <w:autoSpaceDE/>
              <w:autoSpaceDN/>
              <w:bidi w:val="0"/>
              <w:adjustRightInd w:val="0"/>
              <w:snapToGrid w:val="0"/>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4台</w:t>
            </w:r>
          </w:p>
        </w:tc>
        <w:tc>
          <w:tcPr>
            <w:tcW w:w="1710" w:type="dxa"/>
            <w:noWrap w:val="0"/>
            <w:vAlign w:val="center"/>
          </w:tcPr>
          <w:p>
            <w:pPr>
              <w:keepNext w:val="0"/>
              <w:keepLines w:val="0"/>
              <w:pageBreakBefore w:val="0"/>
              <w:kinsoku/>
              <w:wordWrap/>
              <w:overflowPunct/>
              <w:topLinePunct w:val="0"/>
              <w:autoSpaceDE/>
              <w:autoSpaceDN/>
              <w:bidi w:val="0"/>
              <w:adjustRightInd w:val="0"/>
              <w:snapToGrid w:val="0"/>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台</w:t>
            </w:r>
          </w:p>
        </w:tc>
        <w:tc>
          <w:tcPr>
            <w:tcW w:w="1772" w:type="dxa"/>
            <w:noWrap w:val="0"/>
            <w:vAlign w:val="center"/>
          </w:tcPr>
          <w:p>
            <w:pPr>
              <w:keepNext w:val="0"/>
              <w:keepLines w:val="0"/>
              <w:pageBreakBefore w:val="0"/>
              <w:kinsoku/>
              <w:wordWrap/>
              <w:overflowPunct/>
              <w:topLinePunct w:val="0"/>
              <w:autoSpaceDE/>
              <w:autoSpaceDN/>
              <w:bidi w:val="0"/>
              <w:adjustRightInd w:val="0"/>
              <w:snapToGrid w:val="0"/>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台</w:t>
            </w:r>
          </w:p>
        </w:tc>
      </w:tr>
    </w:tbl>
    <w:p>
      <w:pPr>
        <w:keepNext w:val="0"/>
        <w:keepLines w:val="0"/>
        <w:pageBreakBefore w:val="0"/>
        <w:widowControl w:val="0"/>
        <w:kinsoku/>
        <w:wordWrap/>
        <w:overflowPunct/>
        <w:topLinePunct w:val="0"/>
        <w:autoSpaceDE/>
        <w:autoSpaceDN/>
        <w:bidi w:val="0"/>
        <w:snapToGrid w:val="0"/>
        <w:spacing w:line="440" w:lineRule="exact"/>
        <w:ind w:firstLine="420" w:firstLineChars="200"/>
        <w:jc w:val="both"/>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2 检验依据</w:t>
      </w:r>
    </w:p>
    <w:p>
      <w:pPr>
        <w:pStyle w:val="7"/>
        <w:keepNext w:val="0"/>
        <w:keepLines w:val="0"/>
        <w:pageBreakBefore w:val="0"/>
        <w:widowControl w:val="0"/>
        <w:kinsoku/>
        <w:wordWrap/>
        <w:overflowPunct/>
        <w:topLinePunct w:val="0"/>
        <w:autoSpaceDE/>
        <w:autoSpaceDN/>
        <w:bidi w:val="0"/>
        <w:spacing w:line="440" w:lineRule="exact"/>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表</w:t>
      </w:r>
      <w:r>
        <w:rPr>
          <w:rFonts w:hint="eastAsia" w:ascii="宋体" w:hAnsi="宋体" w:cs="宋体"/>
          <w:color w:val="000000"/>
          <w:kern w:val="2"/>
          <w:sz w:val="21"/>
          <w:szCs w:val="21"/>
          <w:highlight w:val="none"/>
          <w:lang w:val="en-US" w:eastAsia="zh-CN" w:bidi="ar-SA"/>
        </w:rPr>
        <w:t>2</w:t>
      </w:r>
      <w:r>
        <w:rPr>
          <w:rFonts w:hint="eastAsia" w:ascii="宋体" w:hAnsi="宋体" w:eastAsia="宋体" w:cs="宋体"/>
          <w:color w:val="000000"/>
          <w:kern w:val="2"/>
          <w:sz w:val="21"/>
          <w:szCs w:val="21"/>
          <w:highlight w:val="none"/>
          <w:lang w:val="en-US" w:eastAsia="zh-CN" w:bidi="ar-SA"/>
        </w:rPr>
        <w:t>手提式灭火器检验项目</w:t>
      </w:r>
    </w:p>
    <w:tbl>
      <w:tblPr>
        <w:tblStyle w:val="15"/>
        <w:tblW w:w="7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3750"/>
        <w:gridCol w:w="3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03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rPr>
            </w:pPr>
            <w:bookmarkStart w:id="0" w:name="_Hlk40347690"/>
            <w:r>
              <w:rPr>
                <w:rFonts w:hint="eastAsia" w:ascii="宋体" w:hAnsi="宋体" w:eastAsia="宋体" w:cs="宋体"/>
                <w:color w:val="auto"/>
                <w:sz w:val="21"/>
                <w:szCs w:val="21"/>
                <w:highlight w:val="none"/>
              </w:rPr>
              <w:t>序号</w:t>
            </w:r>
          </w:p>
        </w:tc>
        <w:tc>
          <w:tcPr>
            <w:tcW w:w="37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检验项目</w:t>
            </w:r>
          </w:p>
        </w:tc>
        <w:tc>
          <w:tcPr>
            <w:tcW w:w="316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3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37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灭火器总质量</w:t>
            </w:r>
          </w:p>
        </w:tc>
        <w:tc>
          <w:tcPr>
            <w:tcW w:w="316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 4351.1-2005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03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p>
        </w:tc>
        <w:tc>
          <w:tcPr>
            <w:tcW w:w="37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灭火剂充装总量误差</w:t>
            </w:r>
          </w:p>
        </w:tc>
        <w:tc>
          <w:tcPr>
            <w:tcW w:w="316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 4351.1-2005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03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37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i w:val="0"/>
                <w:iCs w:val="0"/>
                <w:color w:val="auto"/>
                <w:sz w:val="21"/>
                <w:szCs w:val="21"/>
              </w:rPr>
            </w:pPr>
            <w:r>
              <w:rPr>
                <w:rFonts w:hint="eastAsia" w:ascii="宋体" w:hAnsi="宋体" w:eastAsia="宋体" w:cs="宋体"/>
                <w:color w:val="auto"/>
                <w:sz w:val="21"/>
                <w:szCs w:val="21"/>
              </w:rPr>
              <w:t>20℃喷射性能</w:t>
            </w:r>
          </w:p>
        </w:tc>
        <w:tc>
          <w:tcPr>
            <w:tcW w:w="316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 4351.1-2005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3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37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i w:val="0"/>
                <w:iCs w:val="0"/>
                <w:color w:val="auto"/>
                <w:sz w:val="21"/>
                <w:szCs w:val="21"/>
              </w:rPr>
            </w:pPr>
            <w:r>
              <w:rPr>
                <w:rFonts w:hint="eastAsia" w:ascii="宋体" w:hAnsi="宋体" w:eastAsia="宋体" w:cs="宋体"/>
                <w:color w:val="auto"/>
                <w:sz w:val="21"/>
                <w:szCs w:val="21"/>
              </w:rPr>
              <w:t>筒体水压试验</w:t>
            </w:r>
          </w:p>
        </w:tc>
        <w:tc>
          <w:tcPr>
            <w:tcW w:w="316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 4351.1-2005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03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37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i w:val="0"/>
                <w:iCs w:val="0"/>
                <w:color w:val="auto"/>
                <w:sz w:val="21"/>
                <w:szCs w:val="21"/>
              </w:rPr>
            </w:pPr>
            <w:r>
              <w:rPr>
                <w:rFonts w:hint="eastAsia" w:ascii="宋体" w:hAnsi="宋体" w:eastAsia="宋体" w:cs="宋体"/>
                <w:color w:val="auto"/>
                <w:sz w:val="21"/>
                <w:szCs w:val="21"/>
              </w:rPr>
              <w:t>筒体爆破试验</w:t>
            </w:r>
          </w:p>
        </w:tc>
        <w:tc>
          <w:tcPr>
            <w:tcW w:w="316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 4351.1-2005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03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w:t>
            </w:r>
          </w:p>
        </w:tc>
        <w:tc>
          <w:tcPr>
            <w:tcW w:w="37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i w:val="0"/>
                <w:iCs w:val="0"/>
                <w:color w:val="auto"/>
                <w:sz w:val="21"/>
                <w:szCs w:val="21"/>
              </w:rPr>
            </w:pPr>
            <w:r>
              <w:rPr>
                <w:rFonts w:hint="eastAsia" w:ascii="宋体" w:hAnsi="宋体" w:eastAsia="宋体" w:cs="宋体"/>
                <w:color w:val="auto"/>
                <w:sz w:val="21"/>
                <w:szCs w:val="21"/>
              </w:rPr>
              <w:t>灭火剂主要组分含量（磷酸二氢铵）</w:t>
            </w:r>
          </w:p>
        </w:tc>
        <w:tc>
          <w:tcPr>
            <w:tcW w:w="316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 4066-2017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03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37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结构检查（充装口内径）</w:t>
            </w:r>
          </w:p>
        </w:tc>
        <w:tc>
          <w:tcPr>
            <w:tcW w:w="316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 4351.1-2005</w:t>
            </w:r>
          </w:p>
        </w:tc>
      </w:tr>
    </w:tbl>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000000"/>
          <w:sz w:val="21"/>
          <w:szCs w:val="21"/>
          <w:highlight w:val="none"/>
        </w:rPr>
      </w:pPr>
    </w:p>
    <w:p>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表</w:t>
      </w:r>
      <w:r>
        <w:rPr>
          <w:rFonts w:hint="eastAsia" w:ascii="宋体" w:hAnsi="宋体" w:cs="宋体"/>
          <w:color w:val="000000"/>
          <w:sz w:val="21"/>
          <w:szCs w:val="21"/>
          <w:lang w:val="en-US" w:eastAsia="zh-CN"/>
        </w:rPr>
        <w:t>3</w:t>
      </w:r>
      <w:r>
        <w:rPr>
          <w:rFonts w:hint="eastAsia" w:ascii="宋体" w:hAnsi="宋体" w:eastAsia="宋体" w:cs="宋体"/>
          <w:i w:val="0"/>
          <w:iCs w:val="0"/>
          <w:color w:val="000000"/>
          <w:kern w:val="0"/>
          <w:sz w:val="21"/>
          <w:szCs w:val="21"/>
          <w:u w:val="none"/>
          <w:lang w:val="en-US" w:eastAsia="zh-CN" w:bidi="ar"/>
        </w:rPr>
        <w:t>消防应急灯</w:t>
      </w:r>
      <w:r>
        <w:rPr>
          <w:rFonts w:hint="eastAsia" w:ascii="宋体" w:hAnsi="宋体" w:eastAsia="宋体" w:cs="宋体"/>
          <w:color w:val="000000"/>
          <w:sz w:val="21"/>
          <w:szCs w:val="21"/>
          <w:lang w:val="en-US" w:eastAsia="zh-CN"/>
        </w:rPr>
        <w:t>检验项目</w:t>
      </w:r>
    </w:p>
    <w:tbl>
      <w:tblPr>
        <w:tblStyle w:val="15"/>
        <w:tblW w:w="7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3705"/>
        <w:gridCol w:w="3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1064" w:type="dxa"/>
            <w:noWrap w:val="0"/>
            <w:vAlign w:val="center"/>
          </w:tcPr>
          <w:p>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3705" w:type="dxa"/>
            <w:noWrap w:val="0"/>
            <w:vAlign w:val="center"/>
          </w:tcPr>
          <w:p>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检验项目</w:t>
            </w:r>
          </w:p>
        </w:tc>
        <w:tc>
          <w:tcPr>
            <w:tcW w:w="3185" w:type="dxa"/>
            <w:noWrap w:val="0"/>
            <w:vAlign w:val="center"/>
          </w:tcPr>
          <w:p>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1064" w:type="dxa"/>
            <w:noWrap w:val="0"/>
            <w:vAlign w:val="center"/>
          </w:tcPr>
          <w:p>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w:t>
            </w:r>
          </w:p>
        </w:tc>
        <w:tc>
          <w:tcPr>
            <w:tcW w:w="3705" w:type="dxa"/>
            <w:noWrap w:val="0"/>
            <w:vAlign w:val="center"/>
          </w:tcPr>
          <w:p>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color w:val="000000"/>
                <w:sz w:val="21"/>
                <w:szCs w:val="21"/>
              </w:rPr>
            </w:pPr>
            <w:r>
              <w:rPr>
                <w:rFonts w:hint="eastAsia" w:ascii="宋体" w:hAnsi="宋体" w:eastAsia="宋体" w:cs="宋体"/>
                <w:kern w:val="0"/>
                <w:sz w:val="21"/>
                <w:szCs w:val="21"/>
                <w:highlight w:val="none"/>
              </w:rPr>
              <w:t>电压波动性能</w:t>
            </w:r>
          </w:p>
        </w:tc>
        <w:tc>
          <w:tcPr>
            <w:tcW w:w="3185" w:type="dxa"/>
            <w:noWrap w:val="0"/>
            <w:vAlign w:val="center"/>
          </w:tcPr>
          <w:p>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color w:val="000000"/>
                <w:sz w:val="21"/>
                <w:szCs w:val="21"/>
              </w:rPr>
            </w:pPr>
            <w:r>
              <w:rPr>
                <w:rFonts w:hint="eastAsia" w:ascii="宋体" w:hAnsi="宋体" w:eastAsia="宋体" w:cs="宋体"/>
                <w:sz w:val="21"/>
                <w:szCs w:val="21"/>
              </w:rPr>
              <w:t>GB 17945-2010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1064" w:type="dxa"/>
            <w:noWrap w:val="0"/>
            <w:vAlign w:val="center"/>
          </w:tcPr>
          <w:p>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w:t>
            </w:r>
          </w:p>
        </w:tc>
        <w:tc>
          <w:tcPr>
            <w:tcW w:w="3705" w:type="dxa"/>
            <w:noWrap w:val="0"/>
            <w:vAlign w:val="center"/>
          </w:tcPr>
          <w:p>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color w:val="000000"/>
                <w:sz w:val="21"/>
                <w:szCs w:val="21"/>
              </w:rPr>
            </w:pPr>
            <w:r>
              <w:rPr>
                <w:rFonts w:hint="eastAsia" w:ascii="宋体" w:hAnsi="宋体" w:eastAsia="宋体" w:cs="宋体"/>
                <w:kern w:val="0"/>
                <w:sz w:val="21"/>
                <w:szCs w:val="21"/>
                <w:highlight w:val="none"/>
              </w:rPr>
              <w:t>转换电压性能</w:t>
            </w:r>
          </w:p>
        </w:tc>
        <w:tc>
          <w:tcPr>
            <w:tcW w:w="3185" w:type="dxa"/>
            <w:noWrap w:val="0"/>
            <w:vAlign w:val="center"/>
          </w:tcPr>
          <w:p>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color w:val="000000"/>
                <w:sz w:val="21"/>
                <w:szCs w:val="21"/>
              </w:rPr>
            </w:pPr>
            <w:r>
              <w:rPr>
                <w:rFonts w:hint="eastAsia" w:ascii="宋体" w:hAnsi="宋体" w:eastAsia="宋体" w:cs="宋体"/>
                <w:sz w:val="21"/>
                <w:szCs w:val="21"/>
              </w:rPr>
              <w:t>GB 17945-2010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1064" w:type="dxa"/>
            <w:noWrap w:val="0"/>
            <w:vAlign w:val="center"/>
          </w:tcPr>
          <w:p>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w:t>
            </w:r>
          </w:p>
        </w:tc>
        <w:tc>
          <w:tcPr>
            <w:tcW w:w="3705" w:type="dxa"/>
            <w:noWrap w:val="0"/>
            <w:vAlign w:val="center"/>
          </w:tcPr>
          <w:p>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color w:val="000000"/>
                <w:sz w:val="21"/>
                <w:szCs w:val="21"/>
              </w:rPr>
            </w:pPr>
            <w:r>
              <w:rPr>
                <w:rFonts w:hint="eastAsia" w:ascii="宋体" w:hAnsi="宋体" w:eastAsia="宋体" w:cs="宋体"/>
                <w:kern w:val="0"/>
                <w:sz w:val="21"/>
                <w:szCs w:val="21"/>
                <w:highlight w:val="none"/>
              </w:rPr>
              <w:t>绝缘性能</w:t>
            </w:r>
          </w:p>
        </w:tc>
        <w:tc>
          <w:tcPr>
            <w:tcW w:w="3185" w:type="dxa"/>
            <w:noWrap w:val="0"/>
            <w:vAlign w:val="center"/>
          </w:tcPr>
          <w:p>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color w:val="000000"/>
                <w:sz w:val="21"/>
                <w:szCs w:val="21"/>
              </w:rPr>
            </w:pPr>
            <w:r>
              <w:rPr>
                <w:rFonts w:hint="eastAsia" w:ascii="宋体" w:hAnsi="宋体" w:eastAsia="宋体" w:cs="宋体"/>
                <w:sz w:val="21"/>
                <w:szCs w:val="21"/>
              </w:rPr>
              <w:t>GB 17945-2010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1064" w:type="dxa"/>
            <w:noWrap w:val="0"/>
            <w:vAlign w:val="center"/>
          </w:tcPr>
          <w:p>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w:t>
            </w:r>
          </w:p>
        </w:tc>
        <w:tc>
          <w:tcPr>
            <w:tcW w:w="3705" w:type="dxa"/>
            <w:noWrap w:val="0"/>
            <w:vAlign w:val="center"/>
          </w:tcPr>
          <w:p>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color w:val="000000"/>
                <w:sz w:val="21"/>
                <w:szCs w:val="21"/>
              </w:rPr>
            </w:pPr>
            <w:r>
              <w:rPr>
                <w:rFonts w:hint="eastAsia" w:ascii="宋体" w:hAnsi="宋体" w:eastAsia="宋体" w:cs="宋体"/>
                <w:kern w:val="0"/>
                <w:sz w:val="21"/>
                <w:szCs w:val="21"/>
                <w:highlight w:val="none"/>
              </w:rPr>
              <w:t>耐压性能</w:t>
            </w:r>
          </w:p>
        </w:tc>
        <w:tc>
          <w:tcPr>
            <w:tcW w:w="3185" w:type="dxa"/>
            <w:noWrap w:val="0"/>
            <w:vAlign w:val="center"/>
          </w:tcPr>
          <w:p>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color w:val="000000"/>
                <w:sz w:val="21"/>
                <w:szCs w:val="21"/>
              </w:rPr>
            </w:pPr>
            <w:r>
              <w:rPr>
                <w:rFonts w:hint="eastAsia" w:ascii="宋体" w:hAnsi="宋体" w:eastAsia="宋体" w:cs="宋体"/>
                <w:sz w:val="21"/>
                <w:szCs w:val="21"/>
              </w:rPr>
              <w:t>GB 17945-2010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1064" w:type="dxa"/>
            <w:noWrap w:val="0"/>
            <w:vAlign w:val="center"/>
          </w:tcPr>
          <w:p>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5</w:t>
            </w:r>
          </w:p>
        </w:tc>
        <w:tc>
          <w:tcPr>
            <w:tcW w:w="3705" w:type="dxa"/>
            <w:noWrap w:val="0"/>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系统与整机性能（应急工作时间）</w:t>
            </w:r>
          </w:p>
        </w:tc>
        <w:tc>
          <w:tcPr>
            <w:tcW w:w="3185" w:type="dxa"/>
            <w:noWrap w:val="0"/>
            <w:vAlign w:val="center"/>
          </w:tcPr>
          <w:p>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sz w:val="21"/>
                <w:szCs w:val="21"/>
              </w:rPr>
            </w:pPr>
            <w:r>
              <w:rPr>
                <w:rFonts w:hint="eastAsia" w:ascii="宋体" w:hAnsi="宋体" w:eastAsia="宋体" w:cs="宋体"/>
                <w:sz w:val="21"/>
                <w:szCs w:val="21"/>
              </w:rPr>
              <w:t>GB 17945-2010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1064" w:type="dxa"/>
            <w:noWrap w:val="0"/>
            <w:vAlign w:val="center"/>
          </w:tcPr>
          <w:p>
            <w:pPr>
              <w:keepNext w:val="0"/>
              <w:keepLines w:val="0"/>
              <w:pageBreakBefore w:val="0"/>
              <w:kinsoku/>
              <w:wordWrap/>
              <w:overflowPunct/>
              <w:topLinePunct w:val="0"/>
              <w:autoSpaceDE/>
              <w:autoSpaceDN/>
              <w:bidi w:val="0"/>
              <w:snapToGrid w:val="0"/>
              <w:spacing w:line="440" w:lineRule="exact"/>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w:t>
            </w:r>
          </w:p>
        </w:tc>
        <w:tc>
          <w:tcPr>
            <w:tcW w:w="3705" w:type="dxa"/>
            <w:noWrap w:val="0"/>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接地电阻试验</w:t>
            </w:r>
          </w:p>
        </w:tc>
        <w:tc>
          <w:tcPr>
            <w:tcW w:w="3185" w:type="dxa"/>
            <w:noWrap w:val="0"/>
            <w:vAlign w:val="center"/>
          </w:tcPr>
          <w:p>
            <w:pPr>
              <w:keepNext w:val="0"/>
              <w:keepLines w:val="0"/>
              <w:pageBreakBefore w:val="0"/>
              <w:kinsoku/>
              <w:wordWrap/>
              <w:overflowPunct/>
              <w:topLinePunct w:val="0"/>
              <w:autoSpaceDE/>
              <w:autoSpaceDN/>
              <w:bidi w:val="0"/>
              <w:snapToGrid w:val="0"/>
              <w:spacing w:line="440" w:lineRule="exact"/>
              <w:jc w:val="center"/>
              <w:rPr>
                <w:rFonts w:hint="eastAsia" w:ascii="宋体" w:hAnsi="宋体" w:eastAsia="宋体" w:cs="宋体"/>
                <w:sz w:val="21"/>
                <w:szCs w:val="21"/>
              </w:rPr>
            </w:pPr>
            <w:r>
              <w:rPr>
                <w:rFonts w:hint="eastAsia" w:ascii="宋体" w:hAnsi="宋体" w:eastAsia="宋体" w:cs="宋体"/>
                <w:sz w:val="21"/>
                <w:szCs w:val="21"/>
              </w:rPr>
              <w:t>GB 17945-2010</w:t>
            </w:r>
          </w:p>
        </w:tc>
      </w:tr>
    </w:tbl>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执行企业标准、团体标准、地方标准的产品，检验项目参照上述内容执行。</w:t>
      </w:r>
      <w:bookmarkEnd w:id="0"/>
    </w:p>
    <w:p>
      <w:pPr>
        <w:keepNext w:val="0"/>
        <w:keepLines w:val="0"/>
        <w:pageBreakBefore w:val="0"/>
        <w:widowControl w:val="0"/>
        <w:kinsoku/>
        <w:wordWrap/>
        <w:overflowPunct/>
        <w:topLinePunct w:val="0"/>
        <w:autoSpaceDE/>
        <w:autoSpaceDN/>
        <w:bidi w:val="0"/>
        <w:snapToGrid w:val="0"/>
        <w:spacing w:line="440" w:lineRule="exact"/>
        <w:ind w:firstLine="359" w:firstLineChars="171"/>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凡是注日期的文件，其随后所有的修改单（不包括勘误的内容）或修订版不适用于本细则。凡是不注日期的文件，其最新版本适用于本细则。</w:t>
      </w:r>
    </w:p>
    <w:p>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3 判定规则</w:t>
      </w:r>
    </w:p>
    <w:p>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3.1依据标准</w:t>
      </w:r>
    </w:p>
    <w:p>
      <w:pPr>
        <w:keepNext w:val="0"/>
        <w:keepLines w:val="0"/>
        <w:pageBreakBefore w:val="0"/>
        <w:widowControl w:val="0"/>
        <w:kinsoku/>
        <w:wordWrap/>
        <w:overflowPunct/>
        <w:topLinePunct w:val="0"/>
        <w:autoSpaceDE/>
        <w:autoSpaceDN/>
        <w:bidi w:val="0"/>
        <w:snapToGrid w:val="0"/>
        <w:spacing w:line="440" w:lineRule="exact"/>
        <w:ind w:firstLine="359" w:firstLineChars="171"/>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GB 4351.1-2005 手提式灭火器第1部分：性能和结构要求</w:t>
      </w:r>
    </w:p>
    <w:p>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现行有效的企业标准、团体标准、地方标准及产品明示质量要求</w:t>
      </w:r>
    </w:p>
    <w:p>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3.2判定原则</w:t>
      </w:r>
    </w:p>
    <w:p>
      <w:pPr>
        <w:keepNext w:val="0"/>
        <w:keepLines w:val="0"/>
        <w:pageBreakBefore w:val="0"/>
        <w:widowControl w:val="0"/>
        <w:kinsoku/>
        <w:wordWrap/>
        <w:overflowPunct/>
        <w:topLinePunct w:val="0"/>
        <w:autoSpaceDE/>
        <w:autoSpaceDN/>
        <w:bidi w:val="0"/>
        <w:snapToGrid w:val="0"/>
        <w:spacing w:line="440" w:lineRule="exact"/>
        <w:ind w:firstLine="417" w:firstLineChars="199"/>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经检验，检验项目全部合格，判定为被抽查产品所检项目未发现不合格；检验项目中任一项或一项以上不合格，判定为被抽查产品不合格。</w:t>
      </w:r>
    </w:p>
    <w:p>
      <w:pPr>
        <w:keepNext w:val="0"/>
        <w:keepLines w:val="0"/>
        <w:pageBreakBefore w:val="0"/>
        <w:widowControl w:val="0"/>
        <w:kinsoku/>
        <w:wordWrap/>
        <w:overflowPunct/>
        <w:topLinePunct w:val="0"/>
        <w:autoSpaceDE/>
        <w:autoSpaceDN/>
        <w:bidi w:val="0"/>
        <w:snapToGrid w:val="0"/>
        <w:spacing w:line="440" w:lineRule="exact"/>
        <w:ind w:firstLine="417" w:firstLineChars="199"/>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若被检产品明示的质量要求高于本细则中检验项目依据的标准要求时，应按被检产品明示的质量要求判定。</w:t>
      </w:r>
    </w:p>
    <w:p>
      <w:pPr>
        <w:keepNext w:val="0"/>
        <w:keepLines w:val="0"/>
        <w:pageBreakBefore w:val="0"/>
        <w:widowControl w:val="0"/>
        <w:kinsoku/>
        <w:wordWrap/>
        <w:overflowPunct/>
        <w:topLinePunct w:val="0"/>
        <w:autoSpaceDE/>
        <w:autoSpaceDN/>
        <w:bidi w:val="0"/>
        <w:snapToGrid w:val="0"/>
        <w:spacing w:line="440" w:lineRule="exact"/>
        <w:ind w:firstLine="417" w:firstLineChars="199"/>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若被检产品明示的质量要求低于本细则中检验项目依据的强制性标准要求时，应按照强制性标准要求判定。</w:t>
      </w:r>
    </w:p>
    <w:p>
      <w:pPr>
        <w:keepNext w:val="0"/>
        <w:keepLines w:val="0"/>
        <w:pageBreakBefore w:val="0"/>
        <w:widowControl w:val="0"/>
        <w:kinsoku/>
        <w:wordWrap/>
        <w:overflowPunct/>
        <w:topLinePunct w:val="0"/>
        <w:autoSpaceDE/>
        <w:autoSpaceDN/>
        <w:bidi w:val="0"/>
        <w:snapToGrid w:val="0"/>
        <w:spacing w:line="440" w:lineRule="exact"/>
        <w:ind w:firstLine="417" w:firstLineChars="199"/>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若被检产品明示的质量要求低于或包含本细则中检验项目依据的推荐性标准要求时，应以被检产品明示的质量要求判定。</w:t>
      </w:r>
    </w:p>
    <w:p>
      <w:pPr>
        <w:keepNext w:val="0"/>
        <w:keepLines w:val="0"/>
        <w:pageBreakBefore w:val="0"/>
        <w:widowControl w:val="0"/>
        <w:kinsoku/>
        <w:wordWrap/>
        <w:overflowPunct/>
        <w:topLinePunct w:val="0"/>
        <w:autoSpaceDE/>
        <w:autoSpaceDN/>
        <w:bidi w:val="0"/>
        <w:snapToGrid w:val="0"/>
        <w:spacing w:line="440" w:lineRule="exact"/>
        <w:ind w:firstLine="417" w:firstLineChars="199"/>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若被检产品明示的质量要求缺少本细则中检验项目依据的强制性标准要求时，应按照强制性标准要求判定。</w:t>
      </w:r>
    </w:p>
    <w:p>
      <w:pPr>
        <w:keepNext w:val="0"/>
        <w:keepLines w:val="0"/>
        <w:pageBreakBefore w:val="0"/>
        <w:widowControl w:val="0"/>
        <w:kinsoku/>
        <w:wordWrap/>
        <w:overflowPunct/>
        <w:topLinePunct w:val="0"/>
        <w:autoSpaceDE/>
        <w:autoSpaceDN/>
        <w:bidi w:val="0"/>
        <w:snapToGrid w:val="0"/>
        <w:spacing w:line="440" w:lineRule="exact"/>
        <w:ind w:firstLine="417" w:firstLineChars="199"/>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若被检产品明示的质量要求缺少本细则中检验项目依据的推荐性标准要求时，该项目不参与判定。</w:t>
      </w:r>
      <w:bookmarkStart w:id="1" w:name="_GoBack"/>
      <w:bookmarkEnd w:id="1"/>
    </w:p>
    <w:sectPr>
      <w:headerReference r:id="rId3" w:type="default"/>
      <w:footerReference r:id="rId4" w:type="default"/>
      <w:pgSz w:w="11906" w:h="16838"/>
      <w:pgMar w:top="1985" w:right="1474" w:bottom="1644" w:left="1474"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cs="宋体"/>
        <w:sz w:val="21"/>
        <w:szCs w:val="21"/>
      </w:rPr>
    </w:pPr>
    <w:r>
      <w:rPr>
        <w:rFonts w:ascii="宋体" w:hAnsi="宋体" w:cs="宋体"/>
        <w:sz w:val="21"/>
        <w:szCs w:val="21"/>
        <w:lang w:val="zh-CN"/>
      </w:rPr>
      <w:fldChar w:fldCharType="begin"/>
    </w:r>
    <w:r>
      <w:rPr>
        <w:rFonts w:ascii="宋体" w:hAnsi="宋体" w:cs="宋体"/>
        <w:sz w:val="21"/>
        <w:szCs w:val="21"/>
        <w:lang w:val="zh-CN"/>
      </w:rPr>
      <w:instrText xml:space="preserve"> PAGE   \* MERGEFORMAT </w:instrText>
    </w:r>
    <w:r>
      <w:rPr>
        <w:rFonts w:ascii="宋体" w:hAnsi="宋体" w:cs="宋体"/>
        <w:sz w:val="21"/>
        <w:szCs w:val="21"/>
        <w:lang w:val="zh-CN"/>
      </w:rPr>
      <w:fldChar w:fldCharType="separate"/>
    </w:r>
    <w:r>
      <w:rPr>
        <w:rFonts w:ascii="宋体" w:hAnsi="宋体" w:cs="宋体"/>
        <w:sz w:val="21"/>
        <w:szCs w:val="21"/>
        <w:lang w:val="en-US"/>
      </w:rPr>
      <w:t>1</w:t>
    </w:r>
    <w:r>
      <w:rPr>
        <w:rFonts w:ascii="宋体" w:hAnsi="宋体" w:cs="宋体"/>
        <w:sz w:val="21"/>
        <w:szCs w:val="21"/>
        <w:lang w:val="zh-CN"/>
      </w:rPr>
      <w:fldChar w:fldCharType="end"/>
    </w:r>
  </w:p>
  <w:p>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hNjZlM2IxODUzODM4NWY0OWM0ZjQxMDE2YzA1NzcifQ=="/>
  </w:docVars>
  <w:rsids>
    <w:rsidRoot w:val="00172A27"/>
    <w:rsid w:val="00042073"/>
    <w:rsid w:val="00044395"/>
    <w:rsid w:val="00051A44"/>
    <w:rsid w:val="00067341"/>
    <w:rsid w:val="00075F11"/>
    <w:rsid w:val="00081CBD"/>
    <w:rsid w:val="00094077"/>
    <w:rsid w:val="000976DE"/>
    <w:rsid w:val="000B4710"/>
    <w:rsid w:val="000D3400"/>
    <w:rsid w:val="000D5D4E"/>
    <w:rsid w:val="000E6F29"/>
    <w:rsid w:val="000F03DF"/>
    <w:rsid w:val="000F3729"/>
    <w:rsid w:val="00145507"/>
    <w:rsid w:val="0015727A"/>
    <w:rsid w:val="00164FF8"/>
    <w:rsid w:val="001710C3"/>
    <w:rsid w:val="00172A27"/>
    <w:rsid w:val="001809DD"/>
    <w:rsid w:val="00194335"/>
    <w:rsid w:val="001B6212"/>
    <w:rsid w:val="001C1BB2"/>
    <w:rsid w:val="001E2620"/>
    <w:rsid w:val="001E5FEE"/>
    <w:rsid w:val="002209DD"/>
    <w:rsid w:val="002301B8"/>
    <w:rsid w:val="00235A62"/>
    <w:rsid w:val="0025350A"/>
    <w:rsid w:val="00253624"/>
    <w:rsid w:val="002619B0"/>
    <w:rsid w:val="002623DD"/>
    <w:rsid w:val="0027151F"/>
    <w:rsid w:val="002A5458"/>
    <w:rsid w:val="002B5408"/>
    <w:rsid w:val="002D3385"/>
    <w:rsid w:val="002D4076"/>
    <w:rsid w:val="002D7F8A"/>
    <w:rsid w:val="002E0D1D"/>
    <w:rsid w:val="002E792F"/>
    <w:rsid w:val="003203A3"/>
    <w:rsid w:val="0034769B"/>
    <w:rsid w:val="00357AC7"/>
    <w:rsid w:val="003640ED"/>
    <w:rsid w:val="003C388C"/>
    <w:rsid w:val="003E61BF"/>
    <w:rsid w:val="003F553F"/>
    <w:rsid w:val="004206DA"/>
    <w:rsid w:val="004437D9"/>
    <w:rsid w:val="00445E86"/>
    <w:rsid w:val="0046458B"/>
    <w:rsid w:val="00474E04"/>
    <w:rsid w:val="004A64B5"/>
    <w:rsid w:val="004C761F"/>
    <w:rsid w:val="004D0C5A"/>
    <w:rsid w:val="004E1396"/>
    <w:rsid w:val="004F555A"/>
    <w:rsid w:val="0051162F"/>
    <w:rsid w:val="00541BF7"/>
    <w:rsid w:val="00563EBC"/>
    <w:rsid w:val="00597FA2"/>
    <w:rsid w:val="005B0B4F"/>
    <w:rsid w:val="005F353F"/>
    <w:rsid w:val="006056EB"/>
    <w:rsid w:val="0061086F"/>
    <w:rsid w:val="00662229"/>
    <w:rsid w:val="006713D6"/>
    <w:rsid w:val="00692B5B"/>
    <w:rsid w:val="00693B8F"/>
    <w:rsid w:val="006971BF"/>
    <w:rsid w:val="006A4B8F"/>
    <w:rsid w:val="006F0971"/>
    <w:rsid w:val="00715923"/>
    <w:rsid w:val="0072334C"/>
    <w:rsid w:val="007235B4"/>
    <w:rsid w:val="007408F6"/>
    <w:rsid w:val="007652A4"/>
    <w:rsid w:val="007A39F0"/>
    <w:rsid w:val="007B5BD5"/>
    <w:rsid w:val="007C60F1"/>
    <w:rsid w:val="007E1E99"/>
    <w:rsid w:val="007E6900"/>
    <w:rsid w:val="007F047E"/>
    <w:rsid w:val="00822D40"/>
    <w:rsid w:val="008839CD"/>
    <w:rsid w:val="00895BEA"/>
    <w:rsid w:val="008A3497"/>
    <w:rsid w:val="008B2694"/>
    <w:rsid w:val="00902779"/>
    <w:rsid w:val="009100B4"/>
    <w:rsid w:val="00917A54"/>
    <w:rsid w:val="00990873"/>
    <w:rsid w:val="009A6948"/>
    <w:rsid w:val="00A43553"/>
    <w:rsid w:val="00A52698"/>
    <w:rsid w:val="00A714C4"/>
    <w:rsid w:val="00A81A11"/>
    <w:rsid w:val="00AB406F"/>
    <w:rsid w:val="00AB5364"/>
    <w:rsid w:val="00AD1F0D"/>
    <w:rsid w:val="00B00A02"/>
    <w:rsid w:val="00B11BDC"/>
    <w:rsid w:val="00B21814"/>
    <w:rsid w:val="00B501D0"/>
    <w:rsid w:val="00B71C88"/>
    <w:rsid w:val="00B80796"/>
    <w:rsid w:val="00B90291"/>
    <w:rsid w:val="00BA3F4E"/>
    <w:rsid w:val="00BA571D"/>
    <w:rsid w:val="00BA612B"/>
    <w:rsid w:val="00BB6A5D"/>
    <w:rsid w:val="00BD1FD8"/>
    <w:rsid w:val="00C116DD"/>
    <w:rsid w:val="00C13886"/>
    <w:rsid w:val="00C26074"/>
    <w:rsid w:val="00C61942"/>
    <w:rsid w:val="00C83B0A"/>
    <w:rsid w:val="00C94B32"/>
    <w:rsid w:val="00CA078C"/>
    <w:rsid w:val="00CE1E0C"/>
    <w:rsid w:val="00CE277E"/>
    <w:rsid w:val="00D02FE3"/>
    <w:rsid w:val="00D1749D"/>
    <w:rsid w:val="00D56867"/>
    <w:rsid w:val="00D822C3"/>
    <w:rsid w:val="00DE52A3"/>
    <w:rsid w:val="00DE59CE"/>
    <w:rsid w:val="00E02A7F"/>
    <w:rsid w:val="00E07880"/>
    <w:rsid w:val="00E207FA"/>
    <w:rsid w:val="00E60E75"/>
    <w:rsid w:val="00E72135"/>
    <w:rsid w:val="00E722A0"/>
    <w:rsid w:val="00E75D62"/>
    <w:rsid w:val="00E76709"/>
    <w:rsid w:val="00E76F36"/>
    <w:rsid w:val="00E82621"/>
    <w:rsid w:val="00ED4B24"/>
    <w:rsid w:val="00F110BB"/>
    <w:rsid w:val="00F17854"/>
    <w:rsid w:val="00F36E11"/>
    <w:rsid w:val="00F61C45"/>
    <w:rsid w:val="00F77C9A"/>
    <w:rsid w:val="00F824D9"/>
    <w:rsid w:val="00F954E2"/>
    <w:rsid w:val="00FA2CA5"/>
    <w:rsid w:val="00FB576C"/>
    <w:rsid w:val="00FD2AA6"/>
    <w:rsid w:val="00FD6AFF"/>
    <w:rsid w:val="00FE7E8A"/>
    <w:rsid w:val="012D4133"/>
    <w:rsid w:val="0156392B"/>
    <w:rsid w:val="026A55D8"/>
    <w:rsid w:val="036002AA"/>
    <w:rsid w:val="037A731A"/>
    <w:rsid w:val="04045655"/>
    <w:rsid w:val="07455335"/>
    <w:rsid w:val="0B624CBC"/>
    <w:rsid w:val="0CD64595"/>
    <w:rsid w:val="0D392786"/>
    <w:rsid w:val="0D604782"/>
    <w:rsid w:val="10F63064"/>
    <w:rsid w:val="11DD6135"/>
    <w:rsid w:val="12C549B5"/>
    <w:rsid w:val="139F54C5"/>
    <w:rsid w:val="168B140C"/>
    <w:rsid w:val="178412F0"/>
    <w:rsid w:val="19CB04E3"/>
    <w:rsid w:val="1A2975D8"/>
    <w:rsid w:val="1BDC7FC4"/>
    <w:rsid w:val="212A0697"/>
    <w:rsid w:val="23917A7A"/>
    <w:rsid w:val="23CB16FF"/>
    <w:rsid w:val="24137BCA"/>
    <w:rsid w:val="241B62A7"/>
    <w:rsid w:val="26497204"/>
    <w:rsid w:val="26AF70B6"/>
    <w:rsid w:val="27550801"/>
    <w:rsid w:val="27602AA7"/>
    <w:rsid w:val="27667932"/>
    <w:rsid w:val="27A718A4"/>
    <w:rsid w:val="28BA4A80"/>
    <w:rsid w:val="2900512A"/>
    <w:rsid w:val="2AC24C37"/>
    <w:rsid w:val="2AEF6C27"/>
    <w:rsid w:val="2B3F522E"/>
    <w:rsid w:val="2B9E399D"/>
    <w:rsid w:val="2C251BC9"/>
    <w:rsid w:val="2DB81C0E"/>
    <w:rsid w:val="2DCD1BB4"/>
    <w:rsid w:val="2E8B76AD"/>
    <w:rsid w:val="310061F3"/>
    <w:rsid w:val="32FE0237"/>
    <w:rsid w:val="33CA7E58"/>
    <w:rsid w:val="33FB6528"/>
    <w:rsid w:val="346E22D6"/>
    <w:rsid w:val="36335E88"/>
    <w:rsid w:val="37386C54"/>
    <w:rsid w:val="396024B0"/>
    <w:rsid w:val="39B4082E"/>
    <w:rsid w:val="3AE11297"/>
    <w:rsid w:val="3AFA0DF0"/>
    <w:rsid w:val="3C8F2549"/>
    <w:rsid w:val="3CFA2C7A"/>
    <w:rsid w:val="3D453151"/>
    <w:rsid w:val="3E011B99"/>
    <w:rsid w:val="3E9B0B86"/>
    <w:rsid w:val="402E3744"/>
    <w:rsid w:val="45947D79"/>
    <w:rsid w:val="45BE672D"/>
    <w:rsid w:val="46406183"/>
    <w:rsid w:val="47CB736B"/>
    <w:rsid w:val="485D651B"/>
    <w:rsid w:val="48861F15"/>
    <w:rsid w:val="489B1C01"/>
    <w:rsid w:val="48D42730"/>
    <w:rsid w:val="491D4263"/>
    <w:rsid w:val="4B146476"/>
    <w:rsid w:val="4B8C7732"/>
    <w:rsid w:val="4B9519D8"/>
    <w:rsid w:val="4BAB57EF"/>
    <w:rsid w:val="4BB53DC4"/>
    <w:rsid w:val="4C5327B5"/>
    <w:rsid w:val="4C7B740B"/>
    <w:rsid w:val="4CD65D31"/>
    <w:rsid w:val="51895CCA"/>
    <w:rsid w:val="520E03F1"/>
    <w:rsid w:val="53652B00"/>
    <w:rsid w:val="53932AB7"/>
    <w:rsid w:val="54A9714D"/>
    <w:rsid w:val="550E5435"/>
    <w:rsid w:val="57243206"/>
    <w:rsid w:val="573E4CBA"/>
    <w:rsid w:val="576D5796"/>
    <w:rsid w:val="59635BFA"/>
    <w:rsid w:val="5B04771B"/>
    <w:rsid w:val="5B2D7FCE"/>
    <w:rsid w:val="5B8D3B30"/>
    <w:rsid w:val="5BCA3A6F"/>
    <w:rsid w:val="5C104619"/>
    <w:rsid w:val="5C6739B4"/>
    <w:rsid w:val="5FE77CE8"/>
    <w:rsid w:val="60E34529"/>
    <w:rsid w:val="645E7F17"/>
    <w:rsid w:val="64C37830"/>
    <w:rsid w:val="694B5C26"/>
    <w:rsid w:val="6CDA2D94"/>
    <w:rsid w:val="71A4709A"/>
    <w:rsid w:val="71CB3997"/>
    <w:rsid w:val="74CE7542"/>
    <w:rsid w:val="757271D1"/>
    <w:rsid w:val="75BB472E"/>
    <w:rsid w:val="773B42BC"/>
    <w:rsid w:val="774848A6"/>
    <w:rsid w:val="77A45DFD"/>
    <w:rsid w:val="797618C9"/>
    <w:rsid w:val="7B665471"/>
    <w:rsid w:val="7CB8277D"/>
    <w:rsid w:val="7CE33FC3"/>
    <w:rsid w:val="7D151298"/>
    <w:rsid w:val="7EF7340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qFormat="1"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locked/>
    <w:uiPriority w:val="0"/>
    <w:pPr>
      <w:keepNext/>
      <w:keepLines/>
      <w:spacing w:beforeLines="0" w:beforeAutospacing="0" w:afterLines="0" w:afterAutospacing="0" w:line="240" w:lineRule="auto"/>
      <w:ind w:firstLine="0" w:firstLineChars="0"/>
      <w:outlineLvl w:val="0"/>
    </w:pPr>
    <w:rPr>
      <w:rFonts w:ascii="Arial" w:hAnsi="Arial"/>
      <w:kern w:val="44"/>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customStyle="1" w:styleId="2">
    <w:name w:val="列出段落1"/>
    <w:basedOn w:val="1"/>
    <w:autoRedefine/>
    <w:qFormat/>
    <w:uiPriority w:val="99"/>
    <w:pPr>
      <w:ind w:firstLine="420" w:firstLineChars="200"/>
    </w:pPr>
    <w:rPr>
      <w:rFonts w:ascii="Calibri" w:hAnsi="Calibri" w:cs="Calibri"/>
    </w:rPr>
  </w:style>
  <w:style w:type="paragraph" w:styleId="4">
    <w:name w:val="Normal Indent"/>
    <w:basedOn w:val="1"/>
    <w:next w:val="1"/>
    <w:autoRedefine/>
    <w:qFormat/>
    <w:uiPriority w:val="0"/>
    <w:pPr>
      <w:ind w:firstLine="420"/>
    </w:pPr>
    <w:rPr>
      <w:szCs w:val="20"/>
    </w:rPr>
  </w:style>
  <w:style w:type="paragraph" w:styleId="5">
    <w:name w:val="Body Text 3"/>
    <w:basedOn w:val="1"/>
    <w:next w:val="6"/>
    <w:autoRedefine/>
    <w:qFormat/>
    <w:uiPriority w:val="0"/>
    <w:pPr>
      <w:jc w:val="center"/>
      <w:outlineLvl w:val="0"/>
    </w:pPr>
    <w:rPr>
      <w:rFonts w:ascii="楷体_GB2312"/>
      <w:sz w:val="21"/>
      <w:szCs w:val="20"/>
    </w:rPr>
  </w:style>
  <w:style w:type="paragraph" w:styleId="6">
    <w:name w:val="toc 8"/>
    <w:basedOn w:val="1"/>
    <w:next w:val="1"/>
    <w:autoRedefine/>
    <w:qFormat/>
    <w:locked/>
    <w:uiPriority w:val="0"/>
    <w:pPr>
      <w:spacing w:line="360" w:lineRule="auto"/>
      <w:ind w:left="2940" w:leftChars="1400" w:firstLine="480" w:firstLineChars="200"/>
    </w:pPr>
    <w:rPr>
      <w:rFonts w:ascii="宋体"/>
      <w:sz w:val="24"/>
      <w:szCs w:val="24"/>
    </w:rPr>
  </w:style>
  <w:style w:type="paragraph" w:styleId="7">
    <w:name w:val="Body Text"/>
    <w:basedOn w:val="1"/>
    <w:next w:val="8"/>
    <w:autoRedefine/>
    <w:qFormat/>
    <w:uiPriority w:val="0"/>
    <w:pPr>
      <w:adjustRightInd w:val="0"/>
      <w:spacing w:line="480" w:lineRule="atLeast"/>
      <w:jc w:val="left"/>
      <w:textAlignment w:val="baseline"/>
    </w:pPr>
    <w:rPr>
      <w:kern w:val="0"/>
      <w:sz w:val="28"/>
    </w:rPr>
  </w:style>
  <w:style w:type="paragraph" w:styleId="8">
    <w:name w:val="Body Text First Indent"/>
    <w:basedOn w:val="1"/>
    <w:next w:val="9"/>
    <w:autoRedefine/>
    <w:qFormat/>
    <w:uiPriority w:val="0"/>
    <w:pPr>
      <w:spacing w:after="120"/>
      <w:ind w:firstLine="420"/>
    </w:pPr>
  </w:style>
  <w:style w:type="paragraph" w:styleId="9">
    <w:name w:val="Body Text First Indent 2"/>
    <w:basedOn w:val="10"/>
    <w:next w:val="1"/>
    <w:autoRedefine/>
    <w:qFormat/>
    <w:uiPriority w:val="0"/>
    <w:pPr>
      <w:spacing w:after="120" w:line="240" w:lineRule="auto"/>
      <w:ind w:left="200" w:leftChars="200" w:firstLine="200" w:firstLineChars="200"/>
    </w:pPr>
  </w:style>
  <w:style w:type="paragraph" w:styleId="10">
    <w:name w:val="Body Text Indent"/>
    <w:basedOn w:val="1"/>
    <w:next w:val="5"/>
    <w:link w:val="24"/>
    <w:autoRedefine/>
    <w:qFormat/>
    <w:uiPriority w:val="99"/>
    <w:pPr>
      <w:ind w:firstLine="600" w:firstLineChars="200"/>
    </w:pPr>
    <w:rPr>
      <w:rFonts w:eastAsia="仿宋_GB2312"/>
      <w:sz w:val="24"/>
      <w:szCs w:val="24"/>
    </w:rPr>
  </w:style>
  <w:style w:type="paragraph" w:styleId="11">
    <w:name w:val="Balloon Text"/>
    <w:basedOn w:val="1"/>
    <w:link w:val="27"/>
    <w:autoRedefine/>
    <w:semiHidden/>
    <w:qFormat/>
    <w:uiPriority w:val="99"/>
    <w:rPr>
      <w:sz w:val="18"/>
      <w:szCs w:val="18"/>
    </w:rPr>
  </w:style>
  <w:style w:type="paragraph" w:styleId="12">
    <w:name w:val="footer"/>
    <w:basedOn w:val="1"/>
    <w:link w:val="19"/>
    <w:autoRedefine/>
    <w:qFormat/>
    <w:uiPriority w:val="99"/>
    <w:pPr>
      <w:tabs>
        <w:tab w:val="center" w:pos="4153"/>
        <w:tab w:val="right" w:pos="8306"/>
      </w:tabs>
      <w:snapToGrid w:val="0"/>
      <w:jc w:val="left"/>
    </w:pPr>
    <w:rPr>
      <w:sz w:val="18"/>
      <w:szCs w:val="18"/>
    </w:rPr>
  </w:style>
  <w:style w:type="paragraph" w:styleId="13">
    <w:name w:val="header"/>
    <w:basedOn w:val="1"/>
    <w:link w:val="20"/>
    <w:autoRedefine/>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2"/>
    <w:basedOn w:val="1"/>
    <w:next w:val="7"/>
    <w:autoRedefine/>
    <w:unhideWhenUsed/>
    <w:qFormat/>
    <w:uiPriority w:val="0"/>
    <w:pPr>
      <w:spacing w:after="120" w:line="480" w:lineRule="auto"/>
    </w:pPr>
  </w:style>
  <w:style w:type="table" w:styleId="16">
    <w:name w:val="Table Grid"/>
    <w:basedOn w:val="15"/>
    <w:autoRedefine/>
    <w:semiHidden/>
    <w:unhideWhenUsed/>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autoRedefine/>
    <w:qFormat/>
    <w:uiPriority w:val="99"/>
  </w:style>
  <w:style w:type="character" w:customStyle="1" w:styleId="19">
    <w:name w:val="页脚 Char"/>
    <w:link w:val="12"/>
    <w:autoRedefine/>
    <w:qFormat/>
    <w:locked/>
    <w:uiPriority w:val="99"/>
    <w:rPr>
      <w:kern w:val="2"/>
      <w:sz w:val="18"/>
      <w:szCs w:val="18"/>
    </w:rPr>
  </w:style>
  <w:style w:type="character" w:customStyle="1" w:styleId="20">
    <w:name w:val="页眉 Char"/>
    <w:link w:val="13"/>
    <w:autoRedefine/>
    <w:semiHidden/>
    <w:qFormat/>
    <w:locked/>
    <w:uiPriority w:val="99"/>
    <w:rPr>
      <w:kern w:val="2"/>
      <w:sz w:val="18"/>
      <w:szCs w:val="18"/>
    </w:rPr>
  </w:style>
  <w:style w:type="character" w:customStyle="1" w:styleId="21">
    <w:name w:val="Footer Char1"/>
    <w:autoRedefine/>
    <w:semiHidden/>
    <w:qFormat/>
    <w:uiPriority w:val="99"/>
    <w:rPr>
      <w:sz w:val="18"/>
      <w:szCs w:val="18"/>
    </w:rPr>
  </w:style>
  <w:style w:type="character" w:customStyle="1" w:styleId="22">
    <w:name w:val="Header Char1"/>
    <w:autoRedefine/>
    <w:semiHidden/>
    <w:qFormat/>
    <w:uiPriority w:val="99"/>
    <w:rPr>
      <w:sz w:val="18"/>
      <w:szCs w:val="18"/>
    </w:rPr>
  </w:style>
  <w:style w:type="paragraph" w:customStyle="1" w:styleId="23">
    <w:name w:val="_Style 67"/>
    <w:basedOn w:val="1"/>
    <w:next w:val="1"/>
    <w:autoRedefine/>
    <w:qFormat/>
    <w:uiPriority w:val="99"/>
    <w:pPr>
      <w:widowControl/>
      <w:spacing w:line="360" w:lineRule="auto"/>
      <w:ind w:firstLine="420" w:firstLineChars="200"/>
      <w:jc w:val="left"/>
    </w:pPr>
    <w:rPr>
      <w:rFonts w:ascii="Calibri" w:hAnsi="Calibri" w:eastAsia="微软雅黑" w:cs="Calibri"/>
      <w:sz w:val="24"/>
      <w:szCs w:val="24"/>
    </w:rPr>
  </w:style>
  <w:style w:type="character" w:customStyle="1" w:styleId="24">
    <w:name w:val="正文文本缩进 Char"/>
    <w:link w:val="10"/>
    <w:autoRedefine/>
    <w:qFormat/>
    <w:locked/>
    <w:uiPriority w:val="99"/>
    <w:rPr>
      <w:rFonts w:eastAsia="仿宋_GB2312"/>
      <w:kern w:val="2"/>
      <w:sz w:val="24"/>
      <w:szCs w:val="24"/>
    </w:rPr>
  </w:style>
  <w:style w:type="character" w:customStyle="1" w:styleId="25">
    <w:name w:val="Body Text Indent Char1"/>
    <w:autoRedefine/>
    <w:semiHidden/>
    <w:qFormat/>
    <w:uiPriority w:val="99"/>
    <w:rPr>
      <w:szCs w:val="21"/>
    </w:rPr>
  </w:style>
  <w:style w:type="character" w:customStyle="1" w:styleId="26">
    <w:name w:val="正文文本缩进 字符"/>
    <w:autoRedefine/>
    <w:semiHidden/>
    <w:qFormat/>
    <w:uiPriority w:val="99"/>
    <w:rPr>
      <w:kern w:val="2"/>
      <w:sz w:val="24"/>
      <w:szCs w:val="24"/>
    </w:rPr>
  </w:style>
  <w:style w:type="character" w:customStyle="1" w:styleId="27">
    <w:name w:val="批注框文本 Char"/>
    <w:link w:val="11"/>
    <w:autoRedefine/>
    <w:semiHidden/>
    <w:qFormat/>
    <w:locked/>
    <w:uiPriority w:val="99"/>
    <w:rPr>
      <w:kern w:val="2"/>
      <w:sz w:val="18"/>
      <w:szCs w:val="18"/>
    </w:r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paragraph" w:customStyle="1" w:styleId="2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Legend (Beijing) Limited</Company>
  <Pages>2</Pages>
  <Words>662</Words>
  <Characters>767</Characters>
  <Lines>25</Lines>
  <Paragraphs>7</Paragraphs>
  <TotalTime>0</TotalTime>
  <ScaleCrop>false</ScaleCrop>
  <LinksUpToDate>false</LinksUpToDate>
  <CharactersWithSpaces>780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2019-12-18T07:49:00Z</dcterms:created>
  <dc:creator>Legend User</dc:creator>
  <cp:lastModifiedBy>蔡爽</cp:lastModifiedBy>
  <cp:lastPrinted>2020-08-24T03:42:00Z</cp:lastPrinted>
  <dcterms:modified xsi:type="dcterms:W3CDTF">2024-05-20T00:41:09Z</dcterms:modified>
  <dc:title>××产品质量监督抽查实施细则</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D89BC653DE2A44DAA2CB5DACC9DE3DD5_13</vt:lpwstr>
  </property>
</Properties>
</file>