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640" w:lineRule="exact"/>
        <w:ind w:left="51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舞钢市医疗保障局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1" w:line="640" w:lineRule="exact"/>
        <w:ind w:left="51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年度行政执法情况说明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一、行政处罚实施情况说明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年度行政处罚总数为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宗，罚没收入22760.08元。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年度行政处罚被申请行政复议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宗，占行政处罚总数的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；行政复议决定撤销、变更或者确认违法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,占行政处罚总数的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，占行政处罚总数的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年度行政处罚直接被提起行政诉讼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宗，占行政处罚总数的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;判决撤销、部分撤销、变更、确认违法或者确认无效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宗，占直接被提起行政诉讼宗数的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,占行政处罚总数的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二、行政许可实施情况说明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年度行政许可申请总数为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宗，予以许可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年度行政许可(含不予受理、予以许可和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予许可)被申请行政复议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宗，占行政许可申请总数的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行政复议决定履行法定职责、撤销、变更或者确认违法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%,占行政许可申请总数的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%,占行政许可申请总数的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年度行政许可(含不予受理、予以许可和不予许可)直接被提起行政诉讼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宗，占行政许可申请总数的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%;判决履行法定职责、撤销、部分撤销、变更、确认违法或者确认无效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宗，占直接被提起行政诉讼宗数的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%,占行政许可申请总数的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年度行政强制总数为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年度行政强制被申请行政复议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宗，占行政强制总数的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%;行政复议决定撤销、变更或者确认违法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%,占行政强制总数的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%,占行政强制总数的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年度行政强制直接被提起行政诉讼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宗，占行政强制总数的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%;判决撤销、部分撤销、变更、确认违法或者确认无效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宗，占直接被提起行政诉讼宗数的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占行政强制总数的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四、行政征收实施情况说明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年度行政征收总数为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次，征收总金额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年度行政征收被申请行政复议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宗，占行政征收总数的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%;行政复议决定撤销、变更或者确认违法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%,占行政征收总数的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%,占行政征收总数的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年度行政征收直接被提起行政诉讼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宗，占行政征收总数的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%;判决撤销、部分撤销、变更、确认违法或者确认无效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宗，占直接被提起行政诉讼宗数的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%,占行政征收总数的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五、行政检查实施情况说明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年度行政检查总数为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年度行政检查被申请行政复议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宗，占行政检查总数的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%;行政复议决定确认违法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%,占行政检查总数的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宗，占行政复议后又被提起行政诉讼宗数的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,占行政检查总数的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年度行政检查直接被提起行政诉讼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宗，占行政检查总数的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;判决确认违法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宗，占直接被提起行政诉讼宗数的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,占行政检查总数的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六、行政裁决实施情况说明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年度行政裁决总数为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次，涉及总金额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七、行政给付实施情况说明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年度行政给付总数为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次，给付总金额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年度行政给付被申请行政复议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宗，占行政给付总数的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;行政复议决定履行法定职责、撤销、变更或者确认违法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,行政给付总数的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宗，判决履行法定职责、履行给付职责、撤销、部分撤销、变更、确认违法或者确认无效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,占行政给付总数的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年度行政给付直接被提起行政诉讼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宗，占行政给付总数的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;判决履行法定职责、履行给付职责、撤销、部分撤销、变更、确认违法或者确认无效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宗，占直接被提起行政诉讼宗数的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,占行政给付总数的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八、行政确认实施情况说明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年度行政确认总数为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年度行政确认被申请行政复议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宗，占行政确认总数的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;行政复议决定履行法定职责、撤销、变更或者确认违法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,占行政确认总数的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,占行政确认总数的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年度行政确认直接被提起行政诉讼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宗，占行政确认总数的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宗，占直接被提起行政诉讼宗数的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,占行政确认总数的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九、行政奖励实施情况说明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年度行政奖励总数为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年度行政奖励被申请行政复议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宗，占行政奖励总数的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;行政复议决定履行法定职责、撤销、变更或者确认违法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,占行政奖励总数的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,占行政奖励总数的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年度行政奖励直接被提起行政诉讼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宗，占行政奖励总数的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;判决履行法定职责、撤销、部分撤销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宗，占直接被提起行政诉讼宗数的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,占行政奖励总数的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十、其他行政执法行为实施情况说明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年度其他行政执法行为总数为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年度其他行政执法行为被申请行政复议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宗，占其他行政执法行为总数的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;行政复议决定履行法定职责、撤销、变更或者确认违法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宗，占被申请行政复议宗数的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,占其他行政执法行为总数的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。行政复议后又被提起行政诉讼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%,占其他行政执法行为总数的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年度其他行政执法行为直接被提起行政诉 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宗，占其他行政执法行为总数的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sz w:val="32"/>
          <w:szCs w:val="32"/>
        </w:rPr>
        <w:t>%;判决履行法定职责、撤销、部分撤销、变更、确认违法或者确认无效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宗，占直接被提起行政诉讼宗数的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%,占其他行政执法行为总数的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(注：“被申请行政复议和被提起行政诉讼”数量的统计范围为统计年度1月1日至12月31日期间作出复议决定和生效判决的数量。)</w:t>
      </w:r>
    </w:p>
    <w:p/>
    <w:p>
      <w:bookmarkStart w:id="0" w:name="_GoBack"/>
      <w:bookmarkEnd w:id="0"/>
    </w:p>
    <w:sectPr>
      <w:footerReference r:id="rId5" w:type="default"/>
      <w:pgSz w:w="11906" w:h="16839"/>
      <w:pgMar w:top="1431" w:right="1785" w:bottom="1258" w:left="1785" w:header="0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756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ThlMTgwMmMzZjdhMDU5OWVlM2Y4OWE3YjNjN2EifQ=="/>
  </w:docVars>
  <w:rsids>
    <w:rsidRoot w:val="51B37DC3"/>
    <w:rsid w:val="51B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2024-04-02T00:25:00Z</dcterms:created>
  <dc:creator>人面桃花酿</dc:creator>
  <cp:lastModifiedBy>人面桃花酿</cp:lastModifiedBy>
  <dcterms:modified xsi:type="dcterms:W3CDTF">2024-04-02T00:26:06Z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13F0FC8B9F2E4CD4B05D6065334F82F0_11</vt:lpwstr>
  </property>
</Properties>
</file>