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附件1</w:t>
      </w: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000000" w:themeColor="text1"/>
          <w:lang w:val="en-US" w:eastAsia="zh-CN"/>
          <w14:textFill>
            <w14:solidFill>
              <w14:schemeClr w14:val="tx1"/>
            </w14:solidFill>
          </w14:textFill>
        </w:rPr>
      </w:pPr>
    </w:p>
    <w:p>
      <w:pPr>
        <w:pStyle w:val="14"/>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color w:val="000000" w:themeColor="text1"/>
          <w:spacing w:val="1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11"/>
          <w:sz w:val="44"/>
          <w:szCs w:val="44"/>
          <w:lang w:val="en-US" w:eastAsia="zh-CN"/>
          <w14:textFill>
            <w14:solidFill>
              <w14:schemeClr w14:val="tx1"/>
            </w14:solidFill>
          </w14:textFill>
        </w:rPr>
        <w:t>舞钢市交由乡镇政府行使的行政处罚权</w:t>
      </w:r>
    </w:p>
    <w:p>
      <w:pPr>
        <w:pStyle w:val="14"/>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11"/>
          <w:sz w:val="44"/>
          <w:szCs w:val="44"/>
          <w:lang w:val="en-US" w:eastAsia="zh-CN"/>
          <w14:textFill>
            <w14:solidFill>
              <w14:schemeClr w14:val="tx1"/>
            </w14:solidFill>
          </w14:textFill>
        </w:rPr>
        <w:t>事 项 清 单</w:t>
      </w:r>
    </w:p>
    <w:p>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_GBK" w:hAnsi="方正小标宋_GBK" w:eastAsia="方正小标宋_GBK" w:cs="方正小标宋_GBK"/>
          <w:color w:val="000000" w:themeColor="text1"/>
          <w:spacing w:val="11"/>
          <w:sz w:val="44"/>
          <w:szCs w:val="44"/>
          <w:lang w:val="en-US" w:eastAsia="zh-CN"/>
          <w14:textFill>
            <w14:solidFill>
              <w14:schemeClr w14:val="tx1"/>
            </w14:solidFill>
          </w14:textFill>
        </w:rPr>
      </w:pPr>
    </w:p>
    <w:tbl>
      <w:tblPr>
        <w:tblStyle w:val="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780"/>
        <w:gridCol w:w="3594"/>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jc w:val="center"/>
        </w:trPr>
        <w:tc>
          <w:tcPr>
            <w:tcW w:w="696" w:type="dxa"/>
            <w:vAlign w:val="center"/>
          </w:tcPr>
          <w:p>
            <w:pPr>
              <w:keepNext w:val="0"/>
              <w:keepLines w:val="0"/>
              <w:pageBreakBefore w:val="0"/>
              <w:widowControl w:val="0"/>
              <w:kinsoku/>
              <w:wordWrap/>
              <w:topLinePunct w:val="0"/>
              <w:autoSpaceDE/>
              <w:autoSpaceDN/>
              <w:bidi w:val="0"/>
              <w:adjustRightInd/>
              <w:snapToGrid/>
              <w:spacing w:line="0" w:lineRule="atLeast"/>
              <w:ind w:left="0" w:leftChars="0" w:right="0" w:firstLine="0" w:firstLineChars="0"/>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序号</w:t>
            </w:r>
          </w:p>
        </w:tc>
        <w:tc>
          <w:tcPr>
            <w:tcW w:w="3780"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赋权事项</w:t>
            </w:r>
          </w:p>
        </w:tc>
        <w:tc>
          <w:tcPr>
            <w:tcW w:w="3594"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黑体" w:hAnsi="黑体" w:eastAsia="黑体" w:cs="黑体"/>
                <w:b w:val="0"/>
                <w:bCs w:val="0"/>
                <w:color w:val="000000" w:themeColor="text1"/>
                <w:sz w:val="24"/>
                <w:szCs w:val="24"/>
                <w:lang w:eastAsia="zh-CN"/>
                <w14:textFill>
                  <w14:solidFill>
                    <w14:schemeClr w14:val="tx1"/>
                  </w14:solidFill>
                </w14:textFill>
              </w:rPr>
            </w:pPr>
            <w:r>
              <w:rPr>
                <w:rFonts w:hint="eastAsia" w:ascii="黑体" w:hAnsi="黑体" w:eastAsia="黑体" w:cs="黑体"/>
                <w:b w:val="0"/>
                <w:bCs w:val="0"/>
                <w:color w:val="000000" w:themeColor="text1"/>
                <w:sz w:val="24"/>
                <w:szCs w:val="24"/>
                <w:lang w:eastAsia="zh-CN"/>
                <w14:textFill>
                  <w14:solidFill>
                    <w14:schemeClr w14:val="tx1"/>
                  </w14:solidFill>
                </w14:textFill>
              </w:rPr>
              <w:t>实施依据</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黑体" w:hAnsi="黑体" w:eastAsia="黑体" w:cs="黑体"/>
                <w:b w:val="0"/>
                <w:bCs w:val="0"/>
                <w:color w:val="000000" w:themeColor="text1"/>
                <w:sz w:val="24"/>
                <w:szCs w:val="24"/>
                <w:lang w:eastAsia="zh-CN"/>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原实施</w:t>
            </w:r>
            <w:r>
              <w:rPr>
                <w:rFonts w:hint="eastAsia" w:ascii="黑体" w:hAnsi="黑体" w:eastAsia="黑体" w:cs="黑体"/>
                <w:b w:val="0"/>
                <w:bCs w:val="0"/>
                <w:color w:val="000000" w:themeColor="text1"/>
                <w:sz w:val="24"/>
                <w:szCs w:val="24"/>
                <w:lang w:eastAsia="zh-CN"/>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对拒不履行土地复垦义务的处罚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1.《中华人民共和国土地管理法》第七十六条</w:t>
            </w:r>
          </w:p>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2.《中华人民共和国土地管理法实施条例》第五十六条第一款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cs="仿宋_GB2312"/>
                <w:b w:val="0"/>
                <w:bCs w:val="0"/>
                <w:i w:val="0"/>
                <w:iCs w:val="0"/>
                <w:color w:val="000000" w:themeColor="text1"/>
                <w:kern w:val="0"/>
                <w:sz w:val="24"/>
                <w:szCs w:val="24"/>
                <w:u w:val="none"/>
                <w:lang w:val="en-US" w:eastAsia="zh-CN"/>
                <w14:textFill>
                  <w14:solidFill>
                    <w14:schemeClr w14:val="tx1"/>
                  </w14:solidFill>
                </w14:textFill>
              </w:rPr>
              <w:t>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both"/>
              <w:textAlignment w:val="center"/>
              <w:rPr>
                <w:rFonts w:hint="eastAsia" w:ascii="仿宋_GB2312" w:hAnsi="仿宋_GB2312" w:eastAsia="仿宋_GB2312" w:cs="仿宋_GB2312"/>
                <w:b w:val="0"/>
                <w:bCs w:val="0"/>
                <w:i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对依法收回国有土地使用权当事人拒不交出土地的，临时使用土地期满拒不归还的，或者不按照批准的用途使用国有土地的处罚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1.《中华人民共和国土地管理法》第八十一条</w:t>
            </w:r>
          </w:p>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2.《中华人民共和国土地管理法实施条例》第五十九条</w:t>
            </w:r>
          </w:p>
        </w:tc>
        <w:tc>
          <w:tcPr>
            <w:tcW w:w="1902"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cs="仿宋_GB2312"/>
                <w:b w:val="0"/>
                <w:bCs w:val="0"/>
                <w:i w:val="0"/>
                <w:iCs w:val="0"/>
                <w:color w:val="000000" w:themeColor="text1"/>
                <w:kern w:val="0"/>
                <w:sz w:val="24"/>
                <w:szCs w:val="24"/>
                <w:u w:val="none"/>
                <w:lang w:val="en-US" w:eastAsia="zh-CN"/>
                <w14:textFill>
                  <w14:solidFill>
                    <w14:schemeClr w14:val="tx1"/>
                  </w14:solidFill>
                </w14:textFill>
              </w:rPr>
              <w:t>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对擅自将农民集体所有的土地通过出让、转让使用权或者出租等方式用于非农业建设，或者违反规定，将集体经营性建设用地通过出让、出租等方式交由单位或者个人使用的处罚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1.《中华人民共和国土地管理法》第八十二条</w:t>
            </w:r>
          </w:p>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2.《中华人民共和国土地管理法实施条例》第六十条</w:t>
            </w:r>
          </w:p>
        </w:tc>
        <w:tc>
          <w:tcPr>
            <w:tcW w:w="1902"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cs="仿宋_GB2312"/>
                <w:b w:val="0"/>
                <w:bCs w:val="0"/>
                <w:i w:val="0"/>
                <w:iCs w:val="0"/>
                <w:color w:val="000000" w:themeColor="text1"/>
                <w:kern w:val="0"/>
                <w:sz w:val="24"/>
                <w:szCs w:val="24"/>
                <w:u w:val="none"/>
                <w:lang w:val="en-US" w:eastAsia="zh-CN"/>
                <w14:textFill>
                  <w14:solidFill>
                    <w14:schemeClr w14:val="tx1"/>
                  </w14:solidFill>
                </w14:textFill>
              </w:rPr>
              <w:t>4</w:t>
            </w:r>
          </w:p>
        </w:tc>
        <w:tc>
          <w:tcPr>
            <w:tcW w:w="3780" w:type="dxa"/>
            <w:vAlign w:val="center"/>
          </w:tcPr>
          <w:p>
            <w:pPr>
              <w:keepNext w:val="0"/>
              <w:keepLines w:val="0"/>
              <w:pageBreakBefore w:val="0"/>
              <w:widowControl/>
              <w:kinsoku/>
              <w:wordWrap/>
              <w:overflowPunct w:val="0"/>
              <w:topLinePunct w:val="0"/>
              <w:autoSpaceDE/>
              <w:autoSpaceDN/>
              <w:bidi w:val="0"/>
              <w:adjustRightInd w:val="0"/>
              <w:snapToGrid w:val="0"/>
              <w:spacing w:line="0" w:lineRule="atLeast"/>
              <w:jc w:val="both"/>
              <w:textAlignment w:val="center"/>
              <w:rPr>
                <w:rFonts w:hint="eastAsia" w:ascii="仿宋_GB2312" w:hAnsi="仿宋_GB2312" w:eastAsia="仿宋_GB2312" w:cs="仿宋_GB2312"/>
                <w:b w:val="0"/>
                <w:bCs w:val="0"/>
                <w:i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对非法占用永久基本农田发展林果业或者挖塘养鱼的处罚</w:t>
            </w:r>
          </w:p>
        </w:tc>
        <w:tc>
          <w:tcPr>
            <w:tcW w:w="3594"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lef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《中华人民共和国土地管理法实施条例》第五十一条</w:t>
            </w:r>
          </w:p>
        </w:tc>
        <w:tc>
          <w:tcPr>
            <w:tcW w:w="1902"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cs="仿宋_GB2312"/>
                <w:b w:val="0"/>
                <w:bCs w:val="0"/>
                <w:i w:val="0"/>
                <w:iCs w:val="0"/>
                <w:color w:val="000000" w:themeColor="text1"/>
                <w:kern w:val="0"/>
                <w:sz w:val="24"/>
                <w:szCs w:val="24"/>
                <w:u w:val="none"/>
                <w:lang w:val="en-US" w:eastAsia="zh-CN"/>
                <w14:textFill>
                  <w14:solidFill>
                    <w14:schemeClr w14:val="tx1"/>
                  </w14:solidFill>
                </w14:textFill>
              </w:rPr>
              <w:t>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both"/>
              <w:textAlignment w:val="center"/>
              <w:rPr>
                <w:rFonts w:hint="eastAsia" w:ascii="仿宋_GB2312" w:hAnsi="仿宋_GB2312" w:eastAsia="仿宋_GB2312" w:cs="仿宋_GB2312"/>
                <w:b w:val="0"/>
                <w:bCs w:val="0"/>
                <w:i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对临时用地期满之日起一年内未完成复垦或者未恢复种植条件的处罚</w:t>
            </w:r>
          </w:p>
        </w:tc>
        <w:tc>
          <w:tcPr>
            <w:tcW w:w="3594"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lef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《中华人民共和国土地管理法实施条例》第五十六条第二款</w:t>
            </w:r>
          </w:p>
        </w:tc>
        <w:tc>
          <w:tcPr>
            <w:tcW w:w="1902"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overflowPunct w:val="0"/>
              <w:topLinePunct w:val="0"/>
              <w:autoSpaceDE/>
              <w:autoSpaceDN/>
              <w:bidi w:val="0"/>
              <w:adjustRightInd w:val="0"/>
              <w:snapToGrid w:val="0"/>
              <w:spacing w:line="0" w:lineRule="atLeast"/>
              <w:jc w:val="center"/>
              <w:textAlignment w:val="center"/>
              <w:rPr>
                <w:rFonts w:hint="eastAsia" w:ascii="仿宋_GB2312" w:hAnsi="仿宋_GB2312" w:eastAsia="仿宋_GB2312" w:cs="仿宋_GB2312"/>
                <w:b w:val="0"/>
                <w:bCs w:val="0"/>
                <w:i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对擅自设置、移动、涂改或者损毁历史文化街区、名镇、名村标志牌的处罚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《历史文化名城名镇名村保护条例》第四十五条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对擅自改变或破坏基本农田保护区标志的处罚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《河南省基本农田保护条例》第三十条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市自然资源和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strike w:val="0"/>
                <w:dstrike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kern w:val="0"/>
                <w:sz w:val="24"/>
                <w:szCs w:val="24"/>
                <w:highlight w:val="none"/>
                <w:lang w:val="en-US" w:eastAsia="zh-CN"/>
                <w14:textFill>
                  <w14:solidFill>
                    <w14:schemeClr w14:val="tx1"/>
                  </w14:solidFill>
                </w14:textFill>
              </w:rPr>
              <w:t>对个人在运输过程中沿途丢弃、遗撒生活垃圾的处罚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kern w:val="0"/>
                <w:sz w:val="24"/>
                <w:szCs w:val="24"/>
                <w:highlight w:val="none"/>
                <w:lang w:val="en-US" w:eastAsia="zh-CN"/>
                <w14:textFill>
                  <w14:solidFill>
                    <w14:schemeClr w14:val="tx1"/>
                  </w14:solidFill>
                </w14:textFill>
              </w:rPr>
              <w:t>《中华人民共和国固体废物污染环境防治法》第一百一十一条第一款第七项及第二款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24"/>
                <w:szCs w:val="24"/>
                <w:highlight w:val="none"/>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对将建筑垃圾混入生活垃圾的处罚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《城市建筑垃圾管理规定》第二十条第一款第一项及第二款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24"/>
                <w:szCs w:val="24"/>
                <w:highlight w:val="none"/>
                <w:lang w:val="en-US" w:eastAsia="zh-CN"/>
                <w14:textFill>
                  <w14:solidFill>
                    <w14:schemeClr w14:val="tx1"/>
                  </w14:solidFill>
                </w14:textFill>
              </w:rPr>
              <w:t>市城市管</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t>10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对擅自设立弃置场受纳建筑垃圾的处罚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《城市建筑垃圾管理规定》第二十条第一款第三项及第二款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24"/>
                <w:szCs w:val="24"/>
                <w:highlight w:val="none"/>
                <w:lang w:val="en-US" w:eastAsia="zh-CN"/>
                <w14:textFill>
                  <w14:solidFill>
                    <w14:schemeClr w14:val="tx1"/>
                  </w14:solidFill>
                </w14:textFill>
              </w:rPr>
              <w:t>市城市管</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strike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strike w:val="0"/>
                <w:color w:val="000000" w:themeColor="text1"/>
                <w:kern w:val="0"/>
                <w:sz w:val="24"/>
                <w:szCs w:val="24"/>
                <w:u w:val="none"/>
                <w:lang w:val="en-US" w:eastAsia="zh-CN"/>
                <w14:textFill>
                  <w14:solidFill>
                    <w14:schemeClr w14:val="tx1"/>
                  </w14:solidFill>
                </w14:textFill>
              </w:rPr>
              <w:t>11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对处置建筑垃圾的单位在运输建筑垃圾过程中沿途丢弃、遗撒建筑垃圾的处罚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《城市建筑垃圾管理规定》第二十三条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t>12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对个人随意倾倒、抛撒或者堆放建筑垃圾的处罚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14:textFill>
                  <w14:solidFill>
                    <w14:schemeClr w14:val="tx1"/>
                  </w14:solidFill>
                </w14:textFill>
              </w:rPr>
              <w:t>《城市建筑垃圾管理规定》第二十六条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strike w:val="0"/>
                <w:dstrike w:val="0"/>
                <w:color w:val="000000" w:themeColor="text1"/>
                <w:kern w:val="0"/>
                <w:sz w:val="24"/>
                <w:szCs w:val="24"/>
                <w:highlight w:val="none"/>
                <w:u w:val="none"/>
                <w:lang w:val="en-US" w:eastAsia="zh-CN"/>
                <w14:textFill>
                  <w14:solidFill>
                    <w14:schemeClr w14:val="tx1"/>
                  </w14:solidFill>
                </w14:textFill>
              </w:rPr>
              <w:t>13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对在禁止区域进行露天烧烤或者为露天烧烤提供场所的处罚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《平顶山市城市市容和环境卫生管理条例》第十八条第一款、第四十七条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对从事车辆清洗、维修、装饰的经营者，未在室内或者院内作业，未对作业场所进出口进行硬化处理，未设置沉淀排污设施，未保持场所及周边路面整洁、无污水，地砖松动的处罚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《平顶山市城市市容和环境卫生管理条例》第二十二条、第四十九条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对在树木、地面、电线杆、建筑物、构筑物或者其他设施上涂写、刻画，擅自张贴、悬挂宣传品或者标语的处罚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《平顶山市城市市容和环境卫生管理条例》第二十三条第二款、第五十条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对临街门店经营者将餐厨垃圾随意倾倒门前，将泔水倒入门前垃圾桶，将油渍抛洒到门前路面，将废水倾倒于门前树木、花草上，将废弃物堆放于门前道路上的处罚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《平顶山市城市市容和环境卫生管理条例》第三十六条、第五十四条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对宠物在城市道路、公共场所排泄的粪便，</w:t>
            </w:r>
            <w:r>
              <w:rPr>
                <w:rFonts w:hint="eastAsia" w:ascii="仿宋_GB2312" w:hAnsi="仿宋_GB2312" w:eastAsia="仿宋_GB2312" w:cs="仿宋_GB2312"/>
                <w:b w:val="0"/>
                <w:bCs w:val="0"/>
                <w:strike w:val="0"/>
                <w:dstrike w:val="0"/>
                <w:color w:val="000000" w:themeColor="text1"/>
                <w:kern w:val="0"/>
                <w:sz w:val="24"/>
                <w:szCs w:val="24"/>
                <w:highlight w:val="none"/>
                <w:lang w:val="en-US" w:eastAsia="zh-CN"/>
                <w14:textFill>
                  <w14:solidFill>
                    <w14:schemeClr w14:val="tx1"/>
                  </w14:solidFill>
                </w14:textFill>
              </w:rPr>
              <w:t>未立即清除</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《平顶山市城市市容和环境卫生管理条例》第三十八条、第五十五条第一款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对随地吐痰、便溺的处罚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《平顶山市城市市容和环境卫生管理条例》第三十九条第一项、第五十五条第一款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19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对乱扔果皮（核）、纸屑、烟蒂、包装纸（袋、盒）、饮料罐（瓶）、口香糖渣等废弃物的处罚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《平顶山市城市市容和环境卫生管理条例》第三十九条第二项、第五十五条第一款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对乱丢电池、荧光灯管、显示器等特殊废弃物的处罚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《平顶山市城市市容和环境卫生管理条例》第三十九条第三项、第五十五条第二款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对乱扔动物尸体的处罚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《平顶山市城市市容和环境卫生管理条例》第三十九条第四项、第五十五条第二款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对擅自在城市道路设置斜坡、台阶等影响城市市容的，或者设置地桩、地锁等障碍物圈占道路、公共场地</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的</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《平顶山市城市市容和环境卫生管理条例》第四十三条第二项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对擅自改变、移动地桩等市政设施</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的</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《平顶山市城市市容和环境卫生管理条例》第四十三条第三项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对擅自移动、损坏灯光设施或者环境卫生设施的处罚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《平顶山市城市市容和环境卫生管理条例》第五十二条第一项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对在公路上及公路用地范围内摆摊设点、堆放物品、倾倒垃圾、设置障碍、挖沟引水、利用公路边沟排放污物或者进行其他损坏、污染公路和影响公路畅通的活动的处罚（仅限于乡道）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《中华人民共和国公路法》第四十六条、第七十七条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对未经县级以上地方人民政府交通主管部门批准，在公路用地范围内设置公路标志以外的其他标志处罚（仅限于乡道）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《中华人民共和国公路法》第五十四条、第七十九条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对擅自在公路上设卡、收费的处罚（仅限于乡道）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《中华人民共和国公路法》第七十四条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对铁轮车、履带车和其他可能损害路面的机具擅自在公路上行驶的处罚（仅限于乡道）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《中华人民共和国公路法》第七十六条第四项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29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对在公路建筑控制区外修建的建筑物、地面构筑物以及其他设施遮挡公路标志或者妨碍安全视距的处罚（仅限于乡道）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《公路安全保护条例》第五十六条第二项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对涉路工程设施影响公路完好、安全和畅通的处罚（仅限于乡道）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《公路安全保护条例》第六十条第二项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对未经批准更新采伐护路林的处罚（仅限于乡道）</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《公路安全保护条例》第六十一条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strike w:val="0"/>
                <w:dstrike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kern w:val="0"/>
                <w:sz w:val="24"/>
                <w:szCs w:val="24"/>
                <w:lang w:val="en-US" w:eastAsia="zh-CN"/>
                <w14:textFill>
                  <w14:solidFill>
                    <w14:schemeClr w14:val="tx1"/>
                  </w14:solidFill>
                </w14:textFill>
              </w:rPr>
              <w:t>对铁轮车、履带车和其他可能损害公路路面的机具或者车辆擅自在村道上行驶的处罚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strike w:val="0"/>
                <w:dstrike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kern w:val="0"/>
                <w:sz w:val="24"/>
                <w:szCs w:val="24"/>
                <w:lang w:val="en-US" w:eastAsia="zh-CN"/>
                <w14:textFill>
                  <w14:solidFill>
                    <w14:schemeClr w14:val="tx1"/>
                  </w14:solidFill>
                </w14:textFill>
              </w:rPr>
              <w:t>《河南省农村公路条例》第五十三条第四项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strike w:val="0"/>
                <w:dstrike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strike/>
                <w:dstrike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strike w:val="0"/>
                <w:dstrike w:val="0"/>
                <w:color w:val="000000" w:themeColor="text1"/>
                <w:kern w:val="0"/>
                <w:sz w:val="24"/>
                <w:szCs w:val="24"/>
                <w:u w:val="none"/>
                <w:lang w:val="en-US" w:eastAsia="zh-CN"/>
                <w14:textFill>
                  <w14:solidFill>
                    <w14:schemeClr w14:val="tx1"/>
                  </w14:solidFill>
                </w14:textFill>
              </w:rPr>
              <w:t>33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对损坏或者擅自移动、涂改村道附属设施和标志的处罚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《河南省农村公路条例》第五十三条第六项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对未经批准占用农业灌溉水源、灌排工程设施，或者对原有灌溉用水、供水水源有不利影响的处罚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《河南省实施〈中华人民共和国水法〉办法》第四十三条第一款第五项及第二款</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对在地下水禁止开采区内取用地下水的处罚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《河南省实施〈中华人民共和国水法〉办法》第四十三条第一款第七项及第二款</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对未经批准在地下水限制开采区内取用地下水的处罚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《河南省实施〈中华人民共和国水法〉办法》第四十三条第一款第八项及第二款</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对未经批准擅自改变灌区灌排渠系</w:t>
            </w:r>
            <w:r>
              <w:rPr>
                <w:rFonts w:hint="eastAsia" w:ascii="仿宋_GB2312" w:hAnsi="仿宋_GB2312" w:eastAsia="仿宋_GB2312" w:cs="仿宋_GB2312"/>
                <w:b w:val="0"/>
                <w:bCs w:val="0"/>
                <w:strike w:val="0"/>
                <w:dstrike w:val="0"/>
                <w:color w:val="000000" w:themeColor="text1"/>
                <w:kern w:val="0"/>
                <w:sz w:val="24"/>
                <w:szCs w:val="24"/>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私开口门</w:t>
            </w:r>
            <w:r>
              <w:rPr>
                <w:rFonts w:hint="eastAsia" w:ascii="仿宋_GB2312" w:hAnsi="仿宋_GB2312" w:eastAsia="仿宋_GB2312" w:cs="仿宋_GB2312"/>
                <w:b w:val="0"/>
                <w:bCs w:val="0"/>
                <w:strike w:val="0"/>
                <w:dstrike w:val="0"/>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拦截抢占水源的处罚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《河南省水利工程管理条例》第二十条、第四十五条</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对在河道管理范围内，网箱、围网水产养殖的处罚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《平顶山市河道保护条例》第二十三条第四项、第三十七条</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39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对在河道管理范围内，设置拦河渔具、地笼网等捕鱼工具的处罚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《平顶山市河道保护条例》第二十三条第五项、第三十七条</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对制造、销售禁用的渔具的处罚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《中华人民共和国渔业法》第三十八条第三款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对兴办畜禽养殖场未备案，畜禽养殖场未建立养殖档案或者未按照规定保存养殖档案的处罚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《中华人民共和国畜牧法》第八十六条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对销售的种子应当包装而没有包装的处罚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《中华人民共和国种子法》第七十九条第一项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对销售的种子没有使用说明或者标签内容不符合规定的处罚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《中华人民共和国种子法》第七十九条第二项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对涂改标签的处罚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《中华人民共和国种子法》第七十九条第三项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对未按规定建立、保存种子生产经营档案的处罚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《中华人民共和国种子法》第七十九条第四项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对农药经营者在卫生用农药以外的农药经营场所内经营食品、食用农产品、饲料等的处罚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《农药管理条例》第五十八条第二项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对农药经营者未将卫生用农药与其他商品分柜销售的处罚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《农药管理条例》第五十八条第三项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对未取得拖拉机、联合收割机操作证件而操作拖拉机、联合收割机的处罚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《农业机械安全监督管理条例》第五十二条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49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对使用拖拉机、联合收割机违反规定载人的处罚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《农业机械安全监督管理条例》第五十四条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对销售未取得登记证的肥料产品的处罚</w:t>
            </w:r>
          </w:p>
        </w:tc>
        <w:tc>
          <w:tcPr>
            <w:tcW w:w="3594"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left"/>
              <w:textAlignment w:val="auto"/>
              <w:outlineLvl w:val="9"/>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sz w:val="24"/>
                <w:szCs w:val="24"/>
                <w:lang w:val="en-US" w:eastAsia="zh-CN"/>
                <w14:textFill>
                  <w14:solidFill>
                    <w14:schemeClr w14:val="tx1"/>
                  </w14:solidFill>
                </w14:textFill>
              </w:rPr>
              <w:t>《肥料登记管理办法》第二十六条第一项</w:t>
            </w:r>
          </w:p>
        </w:tc>
        <w:tc>
          <w:tcPr>
            <w:tcW w:w="1902" w:type="dxa"/>
            <w:vAlign w:val="center"/>
          </w:tcPr>
          <w:p>
            <w:pPr>
              <w:keepNext w:val="0"/>
              <w:keepLines w:val="0"/>
              <w:pageBreakBefore w:val="0"/>
              <w:widowControl w:val="0"/>
              <w:kinsoku/>
              <w:wordWrap/>
              <w:topLinePunct w:val="0"/>
              <w:autoSpaceDE/>
              <w:autoSpaceDN/>
              <w:bidi w:val="0"/>
              <w:adjustRightInd/>
              <w:snapToGrid/>
              <w:spacing w:before="0" w:after="0" w:line="0" w:lineRule="atLeast"/>
              <w:ind w:left="0" w:leftChars="0" w:right="0" w:firstLine="0" w:firstLineChars="0"/>
              <w:jc w:val="center"/>
              <w:textAlignment w:val="auto"/>
              <w:outlineLvl w:val="9"/>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对销售包装上未附标签、标签残缺不清或者擅自修改标签内容的处罚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《肥料登记管理办法》第二十七条第三项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对露天焚烧秸秆的处罚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《河南省大气污染防治条例》第八十条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对未取得导游证或者不具备领队条件而从事导游、领队活动的处罚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《中华人民共和国旅游法》第一百零二条第一款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对导游、领队向旅游者索取小费的处罚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《中华人民共和国旅游法》第一百零二条第三款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对互联网上网服务营业场所经营单位在规定的营业时间以外营业的处罚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《互联网上网服务营业场所管理条例》第三十一条第一项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对互联网上网服务营业场所经营单位接纳未成年人进入营业场所的处罚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《互联网上网服务营业场所管理条例》第三十一条第二项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对互联网上网服务营业场所经营单位经营非网络游戏的处罚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《互联网上网服务营业场所管理条例》第三十一条第三项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对互联网上网服务营业场所经营单位未悬挂《网络文化经营许可证》或者未成年人禁入标志的处罚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《互联网上网服务营业场所管理条例》第三十一条第五项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59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对互联网上网服务营业场所经营单位未建立场内巡查制度，或者发现上网消费者的违法行为未予制止并向</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文化行政部门、公安机关</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举报的处罚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《互联网上网服务营业场所管理条例》第三十三条第二项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对互联网上网服务营业场所经营单位未按规定核对、登记上网消费者的有效身份证件或者记录有关上网信息的处罚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《互联网上网服务营业场所管理条例》第三十三条第三项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对歌舞娱乐场所接纳未成年人的处罚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《娱乐场所管理条例》第四十八条第三项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对游艺娱乐场所设置的电子游戏机在国家法定节假日外向未成年人提供的处罚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《娱乐场所管理条例》第四十八条第四项</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63</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对娱乐场所未按照规定建立从业人员名簿、营业日志，或者发现违法犯罪行为未按照规定报告的处罚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《娱乐场所管理条例》第五十条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64</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对个人擅自安装和使用卫星地面接收设施的处罚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《卫星电视广播地面接收设施管理规定》第十条第三款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65</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对娱乐场所未在显著位置悬挂娱乐经营许可证、未成年人禁入或者限入标志，标志未注明举报电话的处罚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《娱乐场所管理办法》第二十四条、第三十三条</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市文化广电和</w:t>
            </w:r>
          </w:p>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66</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对个人损坏、挪用或者擅自拆除、停用消防设施、器材的处罚</w:t>
            </w:r>
          </w:p>
        </w:tc>
        <w:tc>
          <w:tcPr>
            <w:tcW w:w="3594" w:type="dxa"/>
            <w:vAlign w:val="center"/>
          </w:tcPr>
          <w:p>
            <w:pPr>
              <w:keepNext w:val="0"/>
              <w:keepLines w:val="0"/>
              <w:pageBreakBefore w:val="0"/>
              <w:widowControl/>
              <w:kinsoku/>
              <w:wordWrap/>
              <w:topLinePunct w:val="0"/>
              <w:autoSpaceDE/>
              <w:autoSpaceDN/>
              <w:bidi w:val="0"/>
              <w:adjustRightInd w:val="0"/>
              <w:snapToGrid w:val="0"/>
              <w:spacing w:line="0" w:lineRule="atLeas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《中华人民共和国消防法》第六十条</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第二项</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67</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对个人占用、堵塞、封闭疏散通道、安全出口或者有其他妨碍安全疏散行为的处罚</w:t>
            </w:r>
          </w:p>
        </w:tc>
        <w:tc>
          <w:tcPr>
            <w:tcW w:w="3594" w:type="dxa"/>
            <w:vAlign w:val="center"/>
          </w:tcPr>
          <w:p>
            <w:pPr>
              <w:keepNext w:val="0"/>
              <w:keepLines w:val="0"/>
              <w:pageBreakBefore w:val="0"/>
              <w:widowControl/>
              <w:kinsoku/>
              <w:wordWrap/>
              <w:topLinePunct w:val="0"/>
              <w:autoSpaceDE/>
              <w:autoSpaceDN/>
              <w:bidi w:val="0"/>
              <w:adjustRightInd w:val="0"/>
              <w:snapToGrid w:val="0"/>
              <w:spacing w:line="0" w:lineRule="atLeas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《中华人民共和国消防法》第六十条</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第三项</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center"/>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68</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对个人埋压、圈占、遮挡消火栓或者占用防火间距的处罚</w:t>
            </w:r>
          </w:p>
        </w:tc>
        <w:tc>
          <w:tcPr>
            <w:tcW w:w="3594" w:type="dxa"/>
            <w:vAlign w:val="center"/>
          </w:tcPr>
          <w:p>
            <w:pPr>
              <w:keepNext w:val="0"/>
              <w:keepLines w:val="0"/>
              <w:pageBreakBefore w:val="0"/>
              <w:widowControl/>
              <w:kinsoku/>
              <w:wordWrap/>
              <w:topLinePunct w:val="0"/>
              <w:autoSpaceDE/>
              <w:autoSpaceDN/>
              <w:bidi w:val="0"/>
              <w:adjustRightInd w:val="0"/>
              <w:snapToGrid w:val="0"/>
              <w:spacing w:line="0" w:lineRule="atLeas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《中华人民共和国消防法》第六十条</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第四项</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69</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对个人占用、堵塞、封闭消防车通道，妨碍消防车通行的处罚</w:t>
            </w:r>
          </w:p>
        </w:tc>
        <w:tc>
          <w:tcPr>
            <w:tcW w:w="3594" w:type="dxa"/>
            <w:vAlign w:val="center"/>
          </w:tcPr>
          <w:p>
            <w:pPr>
              <w:keepNext w:val="0"/>
              <w:keepLines w:val="0"/>
              <w:pageBreakBefore w:val="0"/>
              <w:widowControl/>
              <w:kinsoku/>
              <w:wordWrap/>
              <w:topLinePunct w:val="0"/>
              <w:autoSpaceDE/>
              <w:autoSpaceDN/>
              <w:bidi w:val="0"/>
              <w:adjustRightInd w:val="0"/>
              <w:snapToGrid w:val="0"/>
              <w:spacing w:line="0" w:lineRule="atLeas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《中华人民共和国消防法》第六十条</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第五项</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及第二款</w:t>
            </w:r>
          </w:p>
        </w:tc>
        <w:tc>
          <w:tcPr>
            <w:tcW w:w="1902" w:type="dxa"/>
            <w:vAlign w:val="center"/>
          </w:tcPr>
          <w:p>
            <w:pPr>
              <w:keepNext w:val="0"/>
              <w:keepLines w:val="0"/>
              <w:pageBreakBefore w:val="0"/>
              <w:widowControl w:val="0"/>
              <w:kinsoku/>
              <w:wordWrap/>
              <w:topLinePunct w:val="0"/>
              <w:autoSpaceDE/>
              <w:autoSpaceDN/>
              <w:bidi w:val="0"/>
              <w:spacing w:line="0" w:lineRule="atLeas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70</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对人员</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密集场所在门窗上设置影响逃生和灭火救援的障</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碍物的处罚</w:t>
            </w:r>
          </w:p>
        </w:tc>
        <w:tc>
          <w:tcPr>
            <w:tcW w:w="3594" w:type="dxa"/>
            <w:vAlign w:val="center"/>
          </w:tcPr>
          <w:p>
            <w:pPr>
              <w:keepNext w:val="0"/>
              <w:keepLines w:val="0"/>
              <w:pageBreakBefore w:val="0"/>
              <w:widowControl/>
              <w:kinsoku/>
              <w:wordWrap/>
              <w:topLinePunct w:val="0"/>
              <w:autoSpaceDE/>
              <w:autoSpaceDN/>
              <w:bidi w:val="0"/>
              <w:adjustRightInd w:val="0"/>
              <w:snapToGrid w:val="0"/>
              <w:spacing w:line="0" w:lineRule="atLeast"/>
              <w:textAlignment w:val="cente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《中华人民</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共和国消防法》第十六条、第二十八条、第</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六十条</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第六项</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第六十七条</w:t>
            </w:r>
          </w:p>
        </w:tc>
        <w:tc>
          <w:tcPr>
            <w:tcW w:w="1902" w:type="dxa"/>
            <w:vAlign w:val="center"/>
          </w:tcPr>
          <w:p>
            <w:pPr>
              <w:keepNext w:val="0"/>
              <w:keepLines w:val="0"/>
              <w:pageBreakBefore w:val="0"/>
              <w:widowControl w:val="0"/>
              <w:kinsoku/>
              <w:wordWrap/>
              <w:topLinePunct w:val="0"/>
              <w:autoSpaceDE/>
              <w:autoSpaceDN/>
              <w:bidi w:val="0"/>
              <w:spacing w:line="0" w:lineRule="atLeas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71</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t>对在居住建筑物的公共走道、楼梯间、门厅内为电动自行车、电动三轮车充电的处罚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《河南省消防条例》第七十一条</w:t>
            </w:r>
          </w:p>
        </w:tc>
        <w:tc>
          <w:tcPr>
            <w:tcW w:w="1902" w:type="dxa"/>
            <w:vAlign w:val="center"/>
          </w:tcPr>
          <w:p>
            <w:pPr>
              <w:keepNext w:val="0"/>
              <w:keepLines w:val="0"/>
              <w:pageBreakBefore w:val="0"/>
              <w:widowControl w:val="0"/>
              <w:kinsoku/>
              <w:wordWrap/>
              <w:topLinePunct w:val="0"/>
              <w:autoSpaceDE/>
              <w:autoSpaceDN/>
              <w:bidi w:val="0"/>
              <w:spacing w:line="0" w:lineRule="atLeas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96" w:type="dxa"/>
            <w:vAlign w:val="center"/>
          </w:tcPr>
          <w:p>
            <w:pPr>
              <w:keepNext w:val="0"/>
              <w:keepLines w:val="0"/>
              <w:pageBreakBefore w:val="0"/>
              <w:widowControl/>
              <w:kinsoku/>
              <w:wordWrap/>
              <w:topLinePunct w:val="0"/>
              <w:autoSpaceDE/>
              <w:autoSpaceDN/>
              <w:bidi w:val="0"/>
              <w:spacing w:line="0" w:lineRule="atLeast"/>
              <w:ind w:left="0" w:leftChars="0" w:right="0" w:firstLine="0" w:firstLineChars="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14:textFill>
                  <w14:solidFill>
                    <w14:schemeClr w14:val="tx1"/>
                  </w14:solidFill>
                </w14:textFill>
              </w:rPr>
              <w:t>72</w:t>
            </w:r>
          </w:p>
        </w:tc>
        <w:tc>
          <w:tcPr>
            <w:tcW w:w="3780" w:type="dxa"/>
            <w:vAlign w:val="center"/>
          </w:tcPr>
          <w:p>
            <w:pPr>
              <w:keepNext w:val="0"/>
              <w:keepLines w:val="0"/>
              <w:pageBreakBefore w:val="0"/>
              <w:widowControl w:val="0"/>
              <w:kinsoku/>
              <w:wordWrap/>
              <w:overflowPunct w:val="0"/>
              <w:topLinePunct w:val="0"/>
              <w:autoSpaceDE/>
              <w:autoSpaceDN/>
              <w:bidi w:val="0"/>
              <w:adjustRightInd w:val="0"/>
              <w:snapToGrid w:val="0"/>
              <w:spacing w:line="0" w:lineRule="atLeast"/>
              <w:ind w:firstLine="0" w:firstLineChars="0"/>
              <w:jc w:val="both"/>
              <w:textAlignment w:val="auto"/>
              <w:rPr>
                <w:rFonts w:hint="eastAsia" w:ascii="仿宋_GB2312" w:hAnsi="仿宋_GB2312" w:eastAsia="仿宋_GB2312" w:cs="仿宋_GB2312"/>
                <w:b w:val="0"/>
                <w:bCs w:val="0"/>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对未按照规定落实消防控制室值班制度，或者安排不具备相应条件的人员值班的处罚</w:t>
            </w:r>
          </w:p>
        </w:tc>
        <w:tc>
          <w:tcPr>
            <w:tcW w:w="3594" w:type="dxa"/>
            <w:vAlign w:val="center"/>
          </w:tcPr>
          <w:p>
            <w:pPr>
              <w:keepNext w:val="0"/>
              <w:keepLines w:val="0"/>
              <w:pageBreakBefore w:val="0"/>
              <w:widowControl w:val="0"/>
              <w:kinsoku/>
              <w:wordWrap/>
              <w:topLinePunct w:val="0"/>
              <w:autoSpaceDE/>
              <w:autoSpaceDN/>
              <w:bidi w:val="0"/>
              <w:spacing w:line="0" w:lineRule="atLeast"/>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《高层民用建筑消防安全管理规定》第四十七条第四项</w:t>
            </w:r>
          </w:p>
        </w:tc>
        <w:tc>
          <w:tcPr>
            <w:tcW w:w="1902" w:type="dxa"/>
            <w:vAlign w:val="center"/>
          </w:tcPr>
          <w:p>
            <w:pPr>
              <w:keepNext w:val="0"/>
              <w:keepLines w:val="0"/>
              <w:pageBreakBefore w:val="0"/>
              <w:widowControl w:val="0"/>
              <w:kinsoku/>
              <w:wordWrap/>
              <w:topLinePunct w:val="0"/>
              <w:autoSpaceDE/>
              <w:autoSpaceDN/>
              <w:bidi w:val="0"/>
              <w:spacing w:line="0" w:lineRule="atLeas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市消防救援大队</w:t>
            </w:r>
          </w:p>
        </w:tc>
      </w:tr>
    </w:tbl>
    <w:p>
      <w:pPr>
        <w:pStyle w:val="14"/>
        <w:spacing w:line="0" w:lineRule="atLeast"/>
        <w:ind w:left="0" w:leftChars="0" w:firstLine="0" w:firstLineChars="0"/>
        <w:jc w:val="both"/>
        <w:rPr>
          <w:rFonts w:hint="eastAsia" w:ascii="黑体" w:hAnsi="黑体" w:eastAsia="黑体" w:cs="黑体"/>
          <w:color w:val="000000" w:themeColor="text1"/>
          <w:sz w:val="30"/>
          <w:szCs w:val="30"/>
          <w:lang w:val="en-US" w:eastAsia="zh-CN"/>
          <w14:textFill>
            <w14:solidFill>
              <w14:schemeClr w14:val="tx1"/>
            </w14:solidFill>
          </w14:textFill>
        </w:rPr>
      </w:pPr>
    </w:p>
    <w:p>
      <w:pPr>
        <w:pStyle w:val="14"/>
        <w:spacing w:line="0" w:lineRule="atLeast"/>
        <w:ind w:left="0" w:leftChars="0" w:firstLine="0" w:firstLineChars="0"/>
        <w:jc w:val="both"/>
        <w:rPr>
          <w:rFonts w:hint="eastAsia" w:ascii="黑体" w:hAnsi="黑体" w:eastAsia="黑体" w:cs="黑体"/>
          <w:color w:val="000000" w:themeColor="text1"/>
          <w:sz w:val="30"/>
          <w:szCs w:val="30"/>
          <w:lang w:val="en-US" w:eastAsia="zh-CN"/>
          <w14:textFill>
            <w14:solidFill>
              <w14:schemeClr w14:val="tx1"/>
            </w14:solidFill>
          </w14:textFill>
        </w:rPr>
      </w:pPr>
    </w:p>
    <w:p>
      <w:pPr>
        <w:pStyle w:val="14"/>
        <w:spacing w:line="0" w:lineRule="atLeast"/>
        <w:ind w:left="0" w:leftChars="0" w:firstLine="0" w:firstLineChars="0"/>
        <w:jc w:val="both"/>
        <w:rPr>
          <w:rFonts w:hint="eastAsia" w:ascii="黑体" w:hAnsi="黑体" w:eastAsia="黑体" w:cs="黑体"/>
          <w:color w:val="000000" w:themeColor="text1"/>
          <w:sz w:val="30"/>
          <w:szCs w:val="30"/>
          <w:lang w:val="en-US" w:eastAsia="zh-CN"/>
          <w14:textFill>
            <w14:solidFill>
              <w14:schemeClr w14:val="tx1"/>
            </w14:solidFill>
          </w14:textFill>
        </w:rPr>
      </w:pPr>
    </w:p>
    <w:p>
      <w:pPr>
        <w:pStyle w:val="14"/>
        <w:spacing w:line="0" w:lineRule="atLeast"/>
        <w:ind w:left="0" w:leftChars="0" w:firstLine="0" w:firstLineChars="0"/>
        <w:jc w:val="both"/>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br w:type="page"/>
      </w: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舞钢</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市在</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乡镇行使消防</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救援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行政处罚权的</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适用</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范围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黑体"/>
          <w:color w:val="000000" w:themeColor="text1"/>
          <w:sz w:val="32"/>
          <w:szCs w:val="32"/>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一、居民住宅小区、商业服务网点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二、建筑面积在300平方米以下(不含本数)的下列场所：</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（一）“多合一”场所；</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（二）出租屋、群租房；</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（三）商店、集贸市场、旅馆、饭店（含农家乐）、沿街门店；</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（四）洗浴、足浴、茶社、美容美发、采耳、健身、汗蒸等营业性休闲场所；</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（五）邮政</w:t>
      </w:r>
      <w:r>
        <w:rPr>
          <w:rFonts w:hint="eastAsia" w:ascii="仿宋_GB2312" w:hAnsi="仿宋_GB2312" w:eastAsia="仿宋_GB2312" w:cs="仿宋_GB2312"/>
          <w:color w:val="000000" w:themeColor="text1"/>
          <w:sz w:val="32"/>
          <w:szCs w:val="32"/>
          <w:lang w:eastAsia="zh-CN"/>
          <w14:textFill>
            <w14:solidFill>
              <w14:schemeClr w14:val="tx1"/>
            </w14:solidFill>
          </w14:textFill>
        </w:rPr>
        <w:t>网点</w:t>
      </w:r>
      <w:r>
        <w:rPr>
          <w:rFonts w:hint="eastAsia" w:ascii="仿宋_GB2312" w:hAnsi="仿宋_GB2312" w:eastAsia="仿宋_GB2312" w:cs="仿宋_GB2312"/>
          <w:color w:val="000000" w:themeColor="text1"/>
          <w:sz w:val="32"/>
          <w:szCs w:val="32"/>
          <w14:textFill>
            <w14:solidFill>
              <w14:schemeClr w14:val="tx1"/>
            </w14:solidFill>
          </w14:textFill>
        </w:rPr>
        <w:t>、电商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网点</w:t>
      </w:r>
      <w:r>
        <w:rPr>
          <w:rFonts w:hint="eastAsia" w:ascii="仿宋_GB2312" w:hAnsi="仿宋_GB2312" w:eastAsia="仿宋_GB2312" w:cs="仿宋_GB2312"/>
          <w:color w:val="000000" w:themeColor="text1"/>
          <w:sz w:val="32"/>
          <w:szCs w:val="32"/>
          <w14:textFill>
            <w14:solidFill>
              <w14:schemeClr w14:val="tx1"/>
            </w14:solidFill>
          </w14:textFill>
        </w:rPr>
        <w:t>、物流</w:t>
      </w:r>
      <w:r>
        <w:rPr>
          <w:rFonts w:hint="eastAsia" w:ascii="仿宋_GB2312" w:hAnsi="仿宋_GB2312" w:eastAsia="仿宋_GB2312" w:cs="仿宋_GB2312"/>
          <w:color w:val="000000" w:themeColor="text1"/>
          <w:sz w:val="32"/>
          <w:szCs w:val="32"/>
          <w:lang w:eastAsia="zh-CN"/>
          <w14:textFill>
            <w14:solidFill>
              <w14:schemeClr w14:val="tx1"/>
            </w14:solidFill>
          </w14:textFill>
        </w:rPr>
        <w:t>网点</w:t>
      </w:r>
      <w:r>
        <w:rPr>
          <w:rFonts w:hint="eastAsia" w:ascii="仿宋_GB2312" w:hAnsi="仿宋_GB2312" w:eastAsia="仿宋_GB2312" w:cs="仿宋_GB2312"/>
          <w:color w:val="000000" w:themeColor="text1"/>
          <w:sz w:val="32"/>
          <w:szCs w:val="32"/>
          <w14:textFill>
            <w14:solidFill>
              <w14:schemeClr w14:val="tx1"/>
            </w14:solidFill>
          </w14:textFill>
        </w:rPr>
        <w:t>（含快递收发点）、金融网点、医疗卫生机构；</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（六）公共书屋、展示陈列等基层文化服务场所；</w:t>
      </w:r>
    </w:p>
    <w:p>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（七）生产、加工、储存非易燃易爆品的工厂、作坊、仓库、堆场等场所。</w:t>
      </w:r>
    </w:p>
    <w:p>
      <w:pPr>
        <w:pStyle w:val="2"/>
        <w:keepNext w:val="0"/>
        <w:keepLines w:val="0"/>
        <w:pageBreakBefore w:val="0"/>
        <w:widowControl w:val="0"/>
        <w:kinsoku/>
        <w:wordWrap/>
        <w:overflowPunct/>
        <w:topLinePunct w:val="0"/>
        <w:autoSpaceDE/>
        <w:autoSpaceDN/>
        <w:bidi w:val="0"/>
        <w:adjustRightInd/>
        <w:snapToGrid/>
        <w:spacing w:after="0" w:line="640" w:lineRule="exact"/>
        <w:textAlignment w:val="auto"/>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sectPr>
          <w:footerReference r:id="rId3" w:type="default"/>
          <w:footerReference r:id="rId4" w:type="even"/>
          <w:pgSz w:w="11906" w:h="16838"/>
          <w:pgMar w:top="2041" w:right="1361" w:bottom="1928" w:left="1531" w:header="851" w:footer="1587" w:gutter="0"/>
          <w:pgNumType w:fmt="decimal"/>
          <w:cols w:space="0" w:num="1"/>
          <w:rtlGutter w:val="0"/>
          <w:docGrid w:type="lines" w:linePitch="312" w:charSpace="0"/>
        </w:sect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pStyle w:val="2"/>
        <w:rPr>
          <w:rFonts w:hint="eastAsia"/>
          <w:color w:val="000000" w:themeColor="text1"/>
          <w:sz w:val="32"/>
          <w:szCs w:val="32"/>
          <w14:textFill>
            <w14:solidFill>
              <w14:schemeClr w14:val="tx1"/>
            </w14:solidFill>
          </w14:textFill>
        </w:rPr>
      </w:pPr>
    </w:p>
    <w:p>
      <w:pPr>
        <w:rPr>
          <w:rFonts w:hint="eastAsia"/>
          <w:color w:val="000000" w:themeColor="text1"/>
          <w:sz w:val="32"/>
          <w:szCs w:val="32"/>
          <w14:textFill>
            <w14:solidFill>
              <w14:schemeClr w14:val="tx1"/>
            </w14:solidFill>
          </w14:textFill>
        </w:rPr>
      </w:pPr>
    </w:p>
    <w:p>
      <w:pPr>
        <w:pStyle w:val="2"/>
        <w:rPr>
          <w:rFonts w:hint="eastAsia"/>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line="580" w:lineRule="exact"/>
        <w:ind w:right="0" w:rightChars="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lang w:val="en-US" w:eastAsia="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33655</wp:posOffset>
                </wp:positionV>
                <wp:extent cx="573405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2.65pt;height:0.05pt;width:451.5pt;z-index:251662336;mso-width-relative:page;mso-height-relative:page;" filled="f" stroked="t" coordsize="21600,21600" o:gfxdata="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xEHwDRAAAABQEAAA8AAAAAAAAA&#10;AQAgAAAAIgAAAGRycy9kb3ducmV2LnhtbFBLAQIUABQAAAAIAIdO4kDgcHf63wEAAKYDAAAOAAAA&#10;AAAAAAEAIAAAACABAABkcnMvZTJvRG9jLnhtbFBLBQYAAAAABgAGAFkBAABx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主办：</w:t>
      </w:r>
      <w:r>
        <w:rPr>
          <w:rFonts w:hint="eastAsia" w:ascii="仿宋_GB2312" w:hAnsi="仿宋_GB2312" w:eastAsia="仿宋_GB2312" w:cs="仿宋_GB2312"/>
          <w:color w:val="000000" w:themeColor="text1"/>
          <w:sz w:val="28"/>
          <w:szCs w:val="28"/>
          <w:lang w:eastAsia="zh-CN"/>
          <w14:textFill>
            <w14:solidFill>
              <w14:schemeClr w14:val="tx1"/>
            </w14:solidFill>
          </w14:textFill>
        </w:rPr>
        <w:t>市司法局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olor w:val="000000" w:themeColor="text1"/>
          <w:sz w:val="28"/>
          <w:szCs w:val="28"/>
          <w:lang w:val="en-US" w:eastAsia="zh-CN"/>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督办：市政府办公室综合</w:t>
      </w:r>
      <w:r>
        <w:rPr>
          <w:rFonts w:hint="eastAsia" w:ascii="仿宋_GB2312" w:hAnsi="仿宋_GB2312" w:eastAsia="仿宋_GB2312" w:cs="仿宋_GB2312"/>
          <w:color w:val="000000" w:themeColor="text1"/>
          <w:sz w:val="28"/>
          <w:szCs w:val="28"/>
          <w:lang w:eastAsia="zh-CN"/>
          <w14:textFill>
            <w14:solidFill>
              <w14:schemeClr w14:val="tx1"/>
            </w14:solidFill>
          </w14:textFill>
        </w:rPr>
        <w:t>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0" w:line="580" w:lineRule="exact"/>
        <w:ind w:right="0" w:rightChars="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7340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4pt;height:0.05pt;width:451.5pt;z-index:251659264;mso-width-relative:page;mso-height-relative:page;" filled="f" stroked="t" coordsize="21600,21600" o:gfxdata="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pLcHTAAAABAEAAA8A&#10;AAAAAAAAAQAgAAAAIgAAAGRycy9kb3ducmV2LnhtbFBLAQIUABQAAAAIAIdO4kD2fos34wEAAKYD&#10;AAAOAAAAAAAAAAEAIAAAACIBAABkcnMvZTJvRG9jLnhtbFBLBQYAAAAABgAGAFkBAAB3BQAAAAA=&#10;">
                <v:fill on="f" focussize="0,0"/>
                <v:stroke weight="0.25pt"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抄送：市委各部门，</w:t>
      </w:r>
      <w:r>
        <w:rPr>
          <w:rFonts w:hint="eastAsia" w:ascii="仿宋_GB2312" w:hAnsi="仿宋_GB2312" w:eastAsia="仿宋_GB2312" w:cs="仿宋_GB2312"/>
          <w:color w:val="000000" w:themeColor="text1"/>
          <w:sz w:val="28"/>
          <w:szCs w:val="28"/>
          <w:lang w:eastAsia="zh-CN"/>
          <w14:textFill>
            <w14:solidFill>
              <w14:schemeClr w14:val="tx1"/>
            </w14:solidFill>
          </w14:textFill>
        </w:rPr>
        <w:t>市人武部。</w:t>
      </w:r>
    </w:p>
    <w:p>
      <w:pPr>
        <w:keepNext w:val="0"/>
        <w:keepLines w:val="0"/>
        <w:pageBreakBefore w:val="0"/>
        <w:widowControl w:val="0"/>
        <w:kinsoku/>
        <w:wordWrap/>
        <w:overflowPunct/>
        <w:topLinePunct w:val="0"/>
        <w:autoSpaceDE/>
        <w:autoSpaceDN/>
        <w:bidi w:val="0"/>
        <w:adjustRightInd/>
        <w:snapToGrid/>
        <w:spacing w:before="0" w:line="580" w:lineRule="exact"/>
        <w:ind w:right="0" w:rightChars="0"/>
        <w:jc w:val="both"/>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市人大</w:t>
      </w:r>
      <w:r>
        <w:rPr>
          <w:rFonts w:hint="eastAsia" w:ascii="仿宋_GB2312" w:hAnsi="仿宋_GB2312" w:eastAsia="仿宋_GB2312" w:cs="仿宋_GB2312"/>
          <w:color w:val="000000" w:themeColor="text1"/>
          <w:sz w:val="28"/>
          <w:szCs w:val="28"/>
          <w:lang w:eastAsia="zh-CN"/>
          <w14:textFill>
            <w14:solidFill>
              <w14:schemeClr w14:val="tx1"/>
            </w14:solidFill>
          </w14:textFill>
        </w:rPr>
        <w:t>常委会</w:t>
      </w:r>
      <w:r>
        <w:rPr>
          <w:rFonts w:hint="eastAsia" w:ascii="仿宋_GB2312" w:hAnsi="仿宋_GB2312" w:eastAsia="仿宋_GB2312" w:cs="仿宋_GB2312"/>
          <w:color w:val="000000" w:themeColor="text1"/>
          <w:sz w:val="28"/>
          <w:szCs w:val="28"/>
          <w14:textFill>
            <w14:solidFill>
              <w14:schemeClr w14:val="tx1"/>
            </w14:solidFill>
          </w14:textFill>
        </w:rPr>
        <w:t>办公室，市政协办公室，市法院，市检</w:t>
      </w:r>
      <w:r>
        <w:rPr>
          <w:rFonts w:hint="eastAsia" w:ascii="仿宋_GB2312" w:hAnsi="仿宋_GB2312" w:eastAsia="仿宋_GB2312" w:cs="仿宋_GB2312"/>
          <w:color w:val="000000" w:themeColor="text1"/>
          <w:sz w:val="28"/>
          <w:szCs w:val="28"/>
          <w:lang w:eastAsia="zh-CN"/>
          <w14:textFill>
            <w14:solidFill>
              <w14:schemeClr w14:val="tx1"/>
            </w14:solidFill>
          </w14:textFill>
        </w:rPr>
        <w:t>察</w:t>
      </w:r>
      <w:r>
        <w:rPr>
          <w:rFonts w:hint="eastAsia" w:ascii="仿宋_GB2312" w:hAnsi="仿宋_GB2312" w:eastAsia="仿宋_GB2312" w:cs="仿宋_GB2312"/>
          <w:color w:val="000000" w:themeColor="text1"/>
          <w:sz w:val="28"/>
          <w:szCs w:val="28"/>
          <w14:textFill>
            <w14:solidFill>
              <w14:schemeClr w14:val="tx1"/>
            </w14:solidFill>
          </w14:textFill>
        </w:rPr>
        <w:t xml:space="preserve">院。     </w:t>
      </w:r>
    </w:p>
    <w:p>
      <w:pPr>
        <w:keepNext w:val="0"/>
        <w:keepLines w:val="0"/>
        <w:pageBreakBefore w:val="0"/>
        <w:widowControl w:val="0"/>
        <w:kinsoku/>
        <w:wordWrap/>
        <w:overflowPunct/>
        <w:topLinePunct w:val="0"/>
        <w:autoSpaceDE/>
        <w:autoSpaceDN/>
        <w:bidi w:val="0"/>
        <w:adjustRightInd/>
        <w:snapToGrid/>
        <w:spacing w:before="0" w:line="580" w:lineRule="exact"/>
        <w:ind w:right="0" w:rightChars="0"/>
        <w:jc w:val="both"/>
        <w:textAlignment w:val="auto"/>
        <w:outlineLvl w:val="9"/>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23495</wp:posOffset>
                </wp:positionV>
                <wp:extent cx="573405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85pt;height:0.05pt;width:451.5pt;z-index:251660288;mso-width-relative:page;mso-height-relative:page;" filled="f" stroked="t" coordsize="21600,21600" o:gfxdata="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tPH51AAAAAQBAAAPAAAA&#10;AAAAAAEAIAAAACIAAABkcnMvZG93bnJldi54bWxQSwECFAAUAAAACACHTuJA9pLcJ+ABAACmAwAA&#10;DgAAAAAAAAABACAAAAAjAQAAZHJzL2Uyb0RvYy54bWxQSwUGAAAAAAYABgBZAQAAdQUAAAAA&#10;">
                <v:fill on="f" focussize="0,0"/>
                <v:stroke weight="0.25pt"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401320</wp:posOffset>
                </wp:positionV>
                <wp:extent cx="573405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340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6pt;height:0.05pt;width:451.5pt;z-index:251661312;mso-width-relative:page;mso-height-relative:page;" filled="f" stroked="t" coordsize="21600,21600" o:gfxdata="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fggji1AAAAAYBAAAPAAAA&#10;AAAAAAEAIAAAACIAAABkcnMvZG93bnJldi54bWxQSwECFAAUAAAACACHTuJA4PTQi+ABAACmAwAA&#10;DgAAAAAAAAABACAAAAAjAQAAZHJzL2Uyb0RvYy54bWxQSwUGAAAAAAYABgBZAQAAdQ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舞钢市人民政府办公室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20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 xml:space="preserve">日印发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sectPr>
      <w:footerReference r:id="rId5" w:type="default"/>
      <w:footerReference r:id="rId6" w:type="even"/>
      <w:pgSz w:w="11906" w:h="16838"/>
      <w:pgMar w:top="2041" w:right="1361" w:bottom="1928"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4911090</wp:posOffset>
              </wp:positionH>
              <wp:positionV relativeFrom="paragraph">
                <wp:posOffset>0</wp:posOffset>
              </wp:positionV>
              <wp:extent cx="812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812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4"/>
                              <w:lang w:eastAsia="zh-CN"/>
                            </w:rPr>
                          </w:pP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  \* MERGEFORMAT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lang w:eastAsia="zh-CN"/>
                            </w:rPr>
                            <w:t>　</w:t>
                          </w:r>
                        </w:p>
                      </w:txbxContent>
                    </wps:txbx>
                    <wps:bodyPr wrap="square" lIns="0" tIns="0" rIns="0" bIns="0" upright="0">
                      <a:spAutoFit/>
                    </wps:bodyPr>
                  </wps:wsp>
                </a:graphicData>
              </a:graphic>
            </wp:anchor>
          </w:drawing>
        </mc:Choice>
        <mc:Fallback>
          <w:pict>
            <v:shape id="文本框 1025" o:spid="_x0000_s1026" o:spt="202" type="#_x0000_t202" style="position:absolute;left:0pt;margin-left:386.7pt;margin-top:0pt;height:144pt;width:64pt;mso-position-horizontal-relative:margin;z-index:251660288;mso-width-relative:page;mso-height-relative:page;" filled="f" stroked="f" coordsize="21600,21600" o:gfxdata="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W0&#10;ExjVAAAACAEAAA8AAAAAAAAAAQAgAAAAIgAAAGRycy9kb3ducmV2LnhtbFBLAQIUABQAAAAIAIdO&#10;4kCeuFbrtAEAAE8DAAAOAAAAAAAAAAEAIAAAACQBAABkcnMvZTJvRG9jLnhtbFBLBQYAAAAABgAG&#10;AFkBAABK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4"/>
                        <w:lang w:eastAsia="zh-CN"/>
                      </w:rPr>
                    </w:pP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rPr>
                      <w:fldChar w:fldCharType="begin"/>
                    </w:r>
                    <w:r>
                      <w:rPr>
                        <w:rFonts w:hint="eastAsia" w:asciiTheme="minorEastAsia" w:hAnsiTheme="minorEastAsia" w:eastAsiaTheme="minorEastAsia" w:cstheme="minorEastAsia"/>
                        <w:sz w:val="28"/>
                        <w:szCs w:val="24"/>
                      </w:rPr>
                      <w:instrText xml:space="preserve"> PAGE  \* MERGEFORMAT </w:instrText>
                    </w:r>
                    <w:r>
                      <w:rPr>
                        <w:rFonts w:hint="eastAsia" w:asciiTheme="minorEastAsia" w:hAnsiTheme="minorEastAsia" w:eastAsiaTheme="minorEastAsia" w:cstheme="minorEastAsia"/>
                        <w:sz w:val="28"/>
                        <w:szCs w:val="24"/>
                      </w:rPr>
                      <w:fldChar w:fldCharType="separate"/>
                    </w:r>
                    <w:r>
                      <w:rPr>
                        <w:rFonts w:hint="eastAsia" w:asciiTheme="minorEastAsia" w:hAnsiTheme="minorEastAsia" w:eastAsiaTheme="minorEastAsia" w:cstheme="minorEastAsia"/>
                        <w:sz w:val="28"/>
                        <w:szCs w:val="24"/>
                      </w:rPr>
                      <w:t>1</w:t>
                    </w:r>
                    <w:r>
                      <w:rPr>
                        <w:rFonts w:hint="eastAsia" w:asciiTheme="minorEastAsia" w:hAnsiTheme="minorEastAsia" w:eastAsiaTheme="minorEastAsia" w:cstheme="minorEastAsia"/>
                        <w:sz w:val="28"/>
                        <w:szCs w:val="24"/>
                      </w:rPr>
                      <w:fldChar w:fldCharType="end"/>
                    </w:r>
                    <w:r>
                      <w:rPr>
                        <w:rFonts w:hint="eastAsia" w:asciiTheme="minorEastAsia" w:hAnsiTheme="minorEastAsia" w:eastAsiaTheme="minorEastAsia" w:cstheme="minorEastAsia"/>
                        <w:sz w:val="28"/>
                        <w:szCs w:val="24"/>
                      </w:rPr>
                      <w:t xml:space="preserve"> —</w:t>
                    </w:r>
                    <w:r>
                      <w:rPr>
                        <w:rFonts w:hint="eastAsia" w:asciiTheme="minorEastAsia" w:hAnsiTheme="minorEastAsia" w:eastAsiaTheme="minorEastAsia" w:cstheme="minorEastAsia"/>
                        <w:sz w:val="28"/>
                        <w:szCs w:val="24"/>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oNotDisplayPageBoundarie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TJkMWM4Njk3NDc1ZjUzMzlhYjliODQ1NmIzOTgifQ=="/>
  </w:docVars>
  <w:rsids>
    <w:rsidRoot w:val="00000000"/>
    <w:rsid w:val="0A2D3298"/>
    <w:rsid w:val="0FFA6EBC"/>
    <w:rsid w:val="10714882"/>
    <w:rsid w:val="16E06917"/>
    <w:rsid w:val="18504D21"/>
    <w:rsid w:val="189A41EE"/>
    <w:rsid w:val="1B017496"/>
    <w:rsid w:val="26B81D18"/>
    <w:rsid w:val="29C775C9"/>
    <w:rsid w:val="2DA60AE7"/>
    <w:rsid w:val="302803A7"/>
    <w:rsid w:val="39655BB8"/>
    <w:rsid w:val="39BA6046"/>
    <w:rsid w:val="3B4E2A0F"/>
    <w:rsid w:val="3BAA8ECA"/>
    <w:rsid w:val="40D404EA"/>
    <w:rsid w:val="462211FB"/>
    <w:rsid w:val="46235367"/>
    <w:rsid w:val="4F0F5F2B"/>
    <w:rsid w:val="4F831051"/>
    <w:rsid w:val="51612F33"/>
    <w:rsid w:val="5EA04F5B"/>
    <w:rsid w:val="60C668F2"/>
    <w:rsid w:val="621B1D3E"/>
    <w:rsid w:val="663D434A"/>
    <w:rsid w:val="665B6338"/>
    <w:rsid w:val="6EC50301"/>
    <w:rsid w:val="77F2DF5D"/>
    <w:rsid w:val="7ACB8105"/>
    <w:rsid w:val="7E6A36E6"/>
    <w:rsid w:val="DBEB8D33"/>
    <w:rsid w:val="FEEF07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color w:val="FF0000"/>
      <w:sz w:val="1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ascii="Calibri" w:hAnsi="Calibri" w:eastAsia="宋体" w:cs="Times New Roma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Strong"/>
    <w:basedOn w:val="8"/>
    <w:qFormat/>
    <w:uiPriority w:val="0"/>
    <w:rPr>
      <w:b/>
    </w:rPr>
  </w:style>
  <w:style w:type="paragraph" w:customStyle="1" w:styleId="10">
    <w:name w:val="BodyText"/>
    <w:basedOn w:val="1"/>
    <w:qFormat/>
    <w:uiPriority w:val="0"/>
    <w:rPr>
      <w:rFonts w:eastAsia="仿宋_GB2312"/>
      <w:kern w:val="0"/>
      <w:sz w:val="32"/>
      <w:szCs w:val="32"/>
    </w:rPr>
  </w:style>
  <w:style w:type="paragraph" w:customStyle="1" w:styleId="11">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正文文本 New New"/>
    <w:basedOn w:val="13"/>
    <w:qFormat/>
    <w:uiPriority w:val="0"/>
    <w:pPr>
      <w:spacing w:after="120" w:line="240" w:lineRule="auto"/>
    </w:pPr>
    <w:rPr>
      <w:sz w:val="22"/>
      <w:szCs w:val="22"/>
    </w:rPr>
  </w:style>
  <w:style w:type="paragraph" w:customStyle="1" w:styleId="13">
    <w:name w:val="正文 New New New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Body Text First Indent1"/>
    <w:basedOn w:val="2"/>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2023-08-08T08:34:00Z</dcterms:created>
  <dc:creator>Administrator</dc:creator>
  <cp:lastModifiedBy>lkkk</cp:lastModifiedBy>
  <cp:lastPrinted>2023-12-05T07:06:00Z</cp:lastPrinted>
  <dcterms:modified xsi:type="dcterms:W3CDTF">2023-12-15T09:01:55Z</dcterms:modified>
  <dc:title>＿小金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6224890E394143C9BE2EA801AF4458ED_13</vt:lpwstr>
  </property>
</Properties>
</file>